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457B" w14:textId="77777777" w:rsidR="00D84325" w:rsidRPr="009C6C32" w:rsidRDefault="00D84325" w:rsidP="009C6C32">
      <w:pPr>
        <w:pStyle w:val="Heading2"/>
      </w:pPr>
    </w:p>
    <w:p w14:paraId="750355D9" w14:textId="77777777" w:rsidR="00E809E4" w:rsidRPr="004802E3" w:rsidRDefault="00E809E4" w:rsidP="004802E3">
      <w:pPr>
        <w:spacing w:after="0" w:line="250" w:lineRule="exact"/>
        <w:rPr>
          <w:rFonts w:cs="Arial"/>
          <w:color w:val="484E52" w:themeColor="text1" w:themeTint="F2"/>
          <w:szCs w:val="20"/>
        </w:rPr>
      </w:pPr>
    </w:p>
    <w:p w14:paraId="1C0161B1" w14:textId="77777777" w:rsidR="009D752A" w:rsidRDefault="009D752A" w:rsidP="004802E3">
      <w:pPr>
        <w:spacing w:after="0" w:line="250" w:lineRule="exact"/>
        <w:rPr>
          <w:rFonts w:cs="Arial"/>
          <w:color w:val="484E52" w:themeColor="text1" w:themeTint="F2"/>
          <w:szCs w:val="20"/>
        </w:rPr>
      </w:pPr>
    </w:p>
    <w:p w14:paraId="7C0D8084" w14:textId="77777777" w:rsidR="009D752A" w:rsidRDefault="009D752A" w:rsidP="004802E3">
      <w:pPr>
        <w:spacing w:after="0" w:line="250" w:lineRule="exact"/>
        <w:rPr>
          <w:rFonts w:cs="Arial"/>
          <w:color w:val="484E52" w:themeColor="text1" w:themeTint="F2"/>
          <w:szCs w:val="20"/>
        </w:rPr>
      </w:pPr>
    </w:p>
    <w:p w14:paraId="2D083127" w14:textId="77777777" w:rsidR="009D752A" w:rsidRDefault="009D752A" w:rsidP="004802E3">
      <w:pPr>
        <w:spacing w:after="0" w:line="250" w:lineRule="exact"/>
        <w:rPr>
          <w:rFonts w:cs="Arial"/>
          <w:color w:val="484E52" w:themeColor="text1" w:themeTint="F2"/>
          <w:szCs w:val="20"/>
        </w:rPr>
      </w:pPr>
    </w:p>
    <w:p w14:paraId="2E527FE8" w14:textId="77777777" w:rsidR="009D752A" w:rsidRDefault="009D752A" w:rsidP="004802E3">
      <w:pPr>
        <w:spacing w:after="0" w:line="250" w:lineRule="exact"/>
        <w:rPr>
          <w:rFonts w:cs="Arial"/>
          <w:color w:val="484E52" w:themeColor="text1" w:themeTint="F2"/>
          <w:szCs w:val="20"/>
        </w:rPr>
      </w:pPr>
    </w:p>
    <w:p w14:paraId="2E01BFD9" w14:textId="77777777" w:rsidR="009D752A" w:rsidRDefault="009D752A" w:rsidP="004802E3">
      <w:pPr>
        <w:spacing w:after="0" w:line="250" w:lineRule="exact"/>
        <w:rPr>
          <w:rFonts w:cs="Arial"/>
          <w:color w:val="484E52" w:themeColor="text1" w:themeTint="F2"/>
          <w:szCs w:val="20"/>
        </w:rPr>
      </w:pPr>
    </w:p>
    <w:p w14:paraId="1429B623" w14:textId="77777777" w:rsidR="001D1BD8" w:rsidRDefault="001D1BD8" w:rsidP="00B24A17">
      <w:pPr>
        <w:spacing w:after="0" w:line="250" w:lineRule="exact"/>
        <w:rPr>
          <w:rFonts w:cs="Arial"/>
          <w:color w:val="484E52" w:themeColor="text1" w:themeTint="F2"/>
          <w:szCs w:val="20"/>
        </w:rPr>
      </w:pPr>
    </w:p>
    <w:p w14:paraId="33B168B9" w14:textId="77777777" w:rsidR="008A6F6B" w:rsidRDefault="008A6F6B" w:rsidP="00983BC0">
      <w:pPr>
        <w:spacing w:after="0" w:line="250" w:lineRule="exact"/>
        <w:rPr>
          <w:rFonts w:cs="Arial"/>
        </w:rPr>
      </w:pPr>
    </w:p>
    <w:p w14:paraId="3D4A9972" w14:textId="77777777" w:rsidR="008A6F6B" w:rsidRPr="008A6F6B" w:rsidRDefault="008A6F6B" w:rsidP="008A6F6B">
      <w:pPr>
        <w:spacing w:after="0" w:line="250" w:lineRule="exact"/>
        <w:rPr>
          <w:rFonts w:cs="Arial"/>
        </w:rPr>
      </w:pPr>
      <w:r w:rsidRPr="008A6F6B">
        <w:rPr>
          <w:rFonts w:cs="Arial"/>
          <w:b/>
          <w:bCs/>
        </w:rPr>
        <w:t>Introduction</w:t>
      </w:r>
      <w:r w:rsidRPr="008A6F6B">
        <w:rPr>
          <w:rFonts w:cs="Arial"/>
        </w:rPr>
        <w:t xml:space="preserve"> </w:t>
      </w:r>
    </w:p>
    <w:p w14:paraId="53B63CA9" w14:textId="77777777" w:rsidR="008A6F6B" w:rsidRDefault="008A6F6B" w:rsidP="008A6F6B">
      <w:pPr>
        <w:spacing w:after="0" w:line="250" w:lineRule="exact"/>
        <w:rPr>
          <w:rFonts w:cs="Arial"/>
        </w:rPr>
      </w:pPr>
    </w:p>
    <w:p w14:paraId="71ED7437" w14:textId="77777777" w:rsidR="008A6F6B" w:rsidRPr="008A6F6B" w:rsidRDefault="008A6F6B" w:rsidP="008A6F6B">
      <w:pPr>
        <w:spacing w:after="0" w:line="250" w:lineRule="exact"/>
        <w:rPr>
          <w:rFonts w:cs="Arial"/>
        </w:rPr>
      </w:pPr>
      <w:r w:rsidRPr="008A6F6B">
        <w:rPr>
          <w:rFonts w:cs="Arial"/>
        </w:rPr>
        <w:t xml:space="preserve">On 6 April 2015, the Government implemented the ‘freedom and choice’ reforms as set out in the Taxation of Pensions Act (2014). This legislation allows individuals to access their pension benefits with much more flexibility than was previously the case. </w:t>
      </w:r>
    </w:p>
    <w:p w14:paraId="11420F1E" w14:textId="77777777" w:rsidR="008A6F6B" w:rsidRDefault="008A6F6B" w:rsidP="008A6F6B">
      <w:pPr>
        <w:spacing w:after="0" w:line="250" w:lineRule="exact"/>
        <w:rPr>
          <w:rFonts w:cs="Arial"/>
        </w:rPr>
      </w:pPr>
    </w:p>
    <w:p w14:paraId="3D905EF6" w14:textId="77777777" w:rsidR="008A6F6B" w:rsidRPr="008A6F6B" w:rsidRDefault="008A6F6B" w:rsidP="008A6F6B">
      <w:pPr>
        <w:spacing w:after="0" w:line="250" w:lineRule="exact"/>
        <w:rPr>
          <w:rFonts w:cs="Arial"/>
        </w:rPr>
      </w:pPr>
      <w:r w:rsidRPr="008A6F6B">
        <w:rPr>
          <w:rFonts w:cs="Arial"/>
        </w:rPr>
        <w:t xml:space="preserve">In 2016, the Institute and Faculty of Actuaries carried out research on initial public attitudes to these changes. This research showed that public awareness of the reforms was high but there was mixed views on whether the changes were positive or negative for individuals. The findings from this preliminary research can be found </w:t>
      </w:r>
      <w:hyperlink r:id="rId11" w:history="1">
        <w:r w:rsidRPr="008A6F6B">
          <w:rPr>
            <w:rStyle w:val="Hyperlink"/>
            <w:rFonts w:cs="Arial"/>
          </w:rPr>
          <w:t>here</w:t>
        </w:r>
      </w:hyperlink>
      <w:r w:rsidRPr="008A6F6B">
        <w:rPr>
          <w:rFonts w:cs="Arial"/>
        </w:rPr>
        <w:t xml:space="preserve">. </w:t>
      </w:r>
    </w:p>
    <w:p w14:paraId="2E4A9EB5" w14:textId="77777777" w:rsidR="008A6F6B" w:rsidRDefault="008A6F6B" w:rsidP="008A6F6B">
      <w:pPr>
        <w:spacing w:after="0" w:line="250" w:lineRule="exact"/>
        <w:rPr>
          <w:rFonts w:cs="Arial"/>
        </w:rPr>
      </w:pPr>
    </w:p>
    <w:p w14:paraId="6697DC4E" w14:textId="77777777" w:rsidR="008A6F6B" w:rsidRPr="008A6F6B" w:rsidRDefault="008A6F6B" w:rsidP="008A6F6B">
      <w:pPr>
        <w:spacing w:after="0" w:line="250" w:lineRule="exact"/>
        <w:rPr>
          <w:rFonts w:cs="Arial"/>
        </w:rPr>
      </w:pPr>
      <w:r w:rsidRPr="008A6F6B">
        <w:rPr>
          <w:rFonts w:cs="Arial"/>
        </w:rPr>
        <w:t xml:space="preserve">We have since carried out an updated study to see whether public attitudes to the reforms have changed in the following six years. </w:t>
      </w:r>
    </w:p>
    <w:p w14:paraId="7FB7510E" w14:textId="77777777" w:rsidR="008A6F6B" w:rsidRDefault="008A6F6B" w:rsidP="008A6F6B">
      <w:pPr>
        <w:spacing w:after="0" w:line="250" w:lineRule="exact"/>
        <w:rPr>
          <w:rFonts w:cs="Arial"/>
          <w:b/>
          <w:bCs/>
        </w:rPr>
      </w:pPr>
    </w:p>
    <w:p w14:paraId="6AEB8D7A" w14:textId="77777777" w:rsidR="008A6F6B" w:rsidRPr="008A6F6B" w:rsidRDefault="008A6F6B" w:rsidP="008A6F6B">
      <w:pPr>
        <w:spacing w:after="0" w:line="250" w:lineRule="exact"/>
        <w:rPr>
          <w:rFonts w:cs="Arial"/>
          <w:b/>
          <w:bCs/>
        </w:rPr>
      </w:pPr>
      <w:r w:rsidRPr="008A6F6B">
        <w:rPr>
          <w:rFonts w:cs="Arial"/>
          <w:b/>
          <w:bCs/>
        </w:rPr>
        <w:t>Executive summary and calls to action</w:t>
      </w:r>
    </w:p>
    <w:p w14:paraId="36AD74FB" w14:textId="77777777" w:rsidR="008A6F6B" w:rsidRDefault="008A6F6B" w:rsidP="008A6F6B">
      <w:pPr>
        <w:spacing w:after="0" w:line="250" w:lineRule="exact"/>
        <w:rPr>
          <w:rFonts w:cs="Arial"/>
        </w:rPr>
      </w:pPr>
    </w:p>
    <w:p w14:paraId="376D946E" w14:textId="01E4123C" w:rsidR="008A6F6B" w:rsidRDefault="008A6F6B" w:rsidP="008A6F6B">
      <w:pPr>
        <w:spacing w:after="0" w:line="250" w:lineRule="exact"/>
        <w:rPr>
          <w:rFonts w:cs="Arial"/>
        </w:rPr>
      </w:pPr>
      <w:r w:rsidRPr="008A6F6B">
        <w:rPr>
          <w:rFonts w:cs="Arial"/>
        </w:rPr>
        <w:t>Our latest study showed that:</w:t>
      </w:r>
    </w:p>
    <w:p w14:paraId="259C4C35" w14:textId="77777777" w:rsidR="008A6F6B" w:rsidRPr="008A6F6B" w:rsidRDefault="008A6F6B" w:rsidP="008A6F6B">
      <w:pPr>
        <w:spacing w:after="0" w:line="250" w:lineRule="exact"/>
        <w:rPr>
          <w:rFonts w:cs="Arial"/>
        </w:rPr>
      </w:pPr>
    </w:p>
    <w:p w14:paraId="23113347" w14:textId="77777777" w:rsidR="008A6F6B" w:rsidRPr="008A6F6B" w:rsidRDefault="008A6F6B" w:rsidP="008A6F6B">
      <w:pPr>
        <w:numPr>
          <w:ilvl w:val="0"/>
          <w:numId w:val="31"/>
        </w:numPr>
        <w:spacing w:after="0" w:line="250" w:lineRule="exact"/>
        <w:rPr>
          <w:rFonts w:cs="Arial"/>
        </w:rPr>
      </w:pPr>
      <w:r w:rsidRPr="008A6F6B">
        <w:rPr>
          <w:rFonts w:cs="Arial"/>
          <w:b/>
          <w:bCs/>
        </w:rPr>
        <w:t>Awareness of reforms</w:t>
      </w:r>
      <w:r w:rsidRPr="008A6F6B">
        <w:rPr>
          <w:rFonts w:cs="Arial"/>
        </w:rPr>
        <w:t xml:space="preserve"> – comparing to the last survey, the reforms are more clearly noted as a ‘good thing’; </w:t>
      </w:r>
    </w:p>
    <w:p w14:paraId="65E90168" w14:textId="77777777" w:rsidR="008A6F6B" w:rsidRPr="008A6F6B" w:rsidRDefault="008A6F6B" w:rsidP="008A6F6B">
      <w:pPr>
        <w:spacing w:after="0" w:line="250" w:lineRule="exact"/>
        <w:rPr>
          <w:rFonts w:cs="Arial"/>
        </w:rPr>
      </w:pPr>
    </w:p>
    <w:p w14:paraId="36E7F216" w14:textId="77777777" w:rsidR="008A6F6B" w:rsidRPr="008A6F6B" w:rsidRDefault="008A6F6B" w:rsidP="008A6F6B">
      <w:pPr>
        <w:numPr>
          <w:ilvl w:val="0"/>
          <w:numId w:val="31"/>
        </w:numPr>
        <w:spacing w:after="0" w:line="250" w:lineRule="exact"/>
        <w:rPr>
          <w:rFonts w:cs="Arial"/>
        </w:rPr>
      </w:pPr>
      <w:r w:rsidRPr="008A6F6B">
        <w:rPr>
          <w:rFonts w:cs="Arial"/>
          <w:b/>
          <w:bCs/>
        </w:rPr>
        <w:t xml:space="preserve">Access to guidance and advice - </w:t>
      </w:r>
      <w:r w:rsidRPr="008A6F6B">
        <w:rPr>
          <w:rFonts w:cs="Arial"/>
        </w:rPr>
        <w:t xml:space="preserve">actions are needed to improve take-up of guidance and access to good quality regulated financial advice. </w:t>
      </w:r>
    </w:p>
    <w:p w14:paraId="7B3F00C4" w14:textId="77777777" w:rsidR="008A6F6B" w:rsidRPr="008A6F6B" w:rsidRDefault="008A6F6B" w:rsidP="008A6F6B">
      <w:pPr>
        <w:spacing w:after="0" w:line="250" w:lineRule="exact"/>
        <w:rPr>
          <w:rFonts w:cs="Arial"/>
          <w:b/>
          <w:bCs/>
        </w:rPr>
      </w:pPr>
    </w:p>
    <w:p w14:paraId="3B0D6A0C" w14:textId="2055EFC0" w:rsidR="008A6F6B" w:rsidRPr="008A6F6B" w:rsidRDefault="008A6F6B" w:rsidP="008A6F6B">
      <w:pPr>
        <w:spacing w:after="0" w:line="250" w:lineRule="exact"/>
        <w:rPr>
          <w:rFonts w:cs="Arial"/>
        </w:rPr>
      </w:pPr>
      <w:r w:rsidRPr="008A6F6B">
        <w:rPr>
          <w:rFonts w:cs="Arial"/>
        </w:rPr>
        <w:t>This supports the government’s efforts to introduce a Stronger Nudge (</w:t>
      </w:r>
      <w:hyperlink r:id="rId12" w:history="1">
        <w:r w:rsidRPr="008A6F6B">
          <w:rPr>
            <w:rStyle w:val="Hyperlink"/>
            <w:rFonts w:cs="Arial"/>
          </w:rPr>
          <w:t>link here</w:t>
        </w:r>
      </w:hyperlink>
      <w:r w:rsidRPr="008A6F6B">
        <w:rPr>
          <w:rFonts w:cs="Arial"/>
        </w:rPr>
        <w:t>) to pensions guidance and the actions we have seen taken by pension schemes themselves, to provide access to regulated financial advice. Further action is needed here – for example, by improving availability and scope of the Pensions Advice Allowance</w:t>
      </w:r>
      <w:r w:rsidR="0057403F">
        <w:rPr>
          <w:rStyle w:val="FootnoteReference"/>
          <w:rFonts w:cs="Arial"/>
        </w:rPr>
        <w:footnoteReference w:id="1"/>
      </w:r>
      <w:r w:rsidRPr="008A6F6B">
        <w:rPr>
          <w:rFonts w:cs="Arial"/>
        </w:rPr>
        <w:t>.</w:t>
      </w:r>
    </w:p>
    <w:p w14:paraId="0CAA182B" w14:textId="77777777" w:rsidR="008A6F6B" w:rsidRPr="008A6F6B" w:rsidRDefault="008A6F6B" w:rsidP="008A6F6B">
      <w:pPr>
        <w:spacing w:after="0" w:line="250" w:lineRule="exact"/>
        <w:rPr>
          <w:rFonts w:cs="Arial"/>
        </w:rPr>
      </w:pPr>
    </w:p>
    <w:p w14:paraId="746DD9DF" w14:textId="77777777" w:rsidR="008A6F6B" w:rsidRPr="008A6F6B" w:rsidRDefault="008A6F6B" w:rsidP="008A6F6B">
      <w:pPr>
        <w:numPr>
          <w:ilvl w:val="0"/>
          <w:numId w:val="31"/>
        </w:numPr>
        <w:spacing w:after="0" w:line="250" w:lineRule="exact"/>
        <w:rPr>
          <w:rFonts w:cs="Arial"/>
        </w:rPr>
      </w:pPr>
      <w:r w:rsidRPr="008A6F6B">
        <w:rPr>
          <w:rFonts w:cs="Arial"/>
          <w:b/>
          <w:bCs/>
        </w:rPr>
        <w:t>Diversity and inclusion</w:t>
      </w:r>
      <w:r w:rsidRPr="008A6F6B">
        <w:rPr>
          <w:rFonts w:cs="Arial"/>
        </w:rPr>
        <w:t xml:space="preserve"> – there is evidence of a gender and social imbalance when understanding how to access pensions savings and advice. Targeted action aimed at these groups of savers should be implemented to address this imbalance.</w:t>
      </w:r>
      <w:r w:rsidRPr="008A6F6B">
        <w:rPr>
          <w:rFonts w:cs="Arial"/>
          <w:i/>
          <w:iCs/>
        </w:rPr>
        <w:t xml:space="preserve"> </w:t>
      </w:r>
    </w:p>
    <w:p w14:paraId="354C3F51" w14:textId="77777777" w:rsidR="008A6F6B" w:rsidRPr="008A6F6B" w:rsidRDefault="008A6F6B" w:rsidP="008A6F6B">
      <w:pPr>
        <w:spacing w:after="0" w:line="250" w:lineRule="exact"/>
        <w:rPr>
          <w:rFonts w:cs="Arial"/>
        </w:rPr>
      </w:pPr>
    </w:p>
    <w:p w14:paraId="4925D147" w14:textId="477ECA8C" w:rsidR="008A6F6B" w:rsidRPr="008A6F6B" w:rsidRDefault="0057403F" w:rsidP="008A6F6B">
      <w:pPr>
        <w:numPr>
          <w:ilvl w:val="0"/>
          <w:numId w:val="31"/>
        </w:numPr>
        <w:spacing w:after="0" w:line="250" w:lineRule="exact"/>
        <w:rPr>
          <w:rFonts w:cs="Arial"/>
        </w:rPr>
      </w:pPr>
      <w:r>
        <w:rPr>
          <w:rFonts w:cs="Arial"/>
          <w:b/>
          <w:bCs/>
        </w:rPr>
        <w:lastRenderedPageBreak/>
        <w:t>Consumer understanding</w:t>
      </w:r>
      <w:r w:rsidR="008A6F6B" w:rsidRPr="008A6F6B">
        <w:rPr>
          <w:rFonts w:cs="Arial"/>
        </w:rPr>
        <w:t xml:space="preserve"> – there is clear evidence that savers do not understand enough about their options, or pension products and again, the survey showed clear gender and social differentials - both recognising the type of pension they have and how important their pensions are to meeting their normal expenditure in retirement. There was also a significant lack of understanding with respect to life expectancy. Actions are needed to address financial education in the pre-retirement phase and as savers approach retirement. </w:t>
      </w:r>
    </w:p>
    <w:p w14:paraId="4ADA7C3D" w14:textId="77777777" w:rsidR="008A6F6B" w:rsidRPr="008A6F6B" w:rsidRDefault="008A6F6B" w:rsidP="008A6F6B">
      <w:pPr>
        <w:spacing w:after="0" w:line="250" w:lineRule="exact"/>
        <w:rPr>
          <w:rFonts w:cs="Arial"/>
        </w:rPr>
      </w:pPr>
    </w:p>
    <w:p w14:paraId="3ADD1C22" w14:textId="5AD51BDC" w:rsidR="008A6F6B" w:rsidRPr="008A6F6B" w:rsidRDefault="008A6F6B" w:rsidP="008A6F6B">
      <w:pPr>
        <w:numPr>
          <w:ilvl w:val="0"/>
          <w:numId w:val="31"/>
        </w:numPr>
        <w:spacing w:after="0" w:line="250" w:lineRule="exact"/>
        <w:rPr>
          <w:rFonts w:cs="Arial"/>
        </w:rPr>
      </w:pPr>
      <w:r w:rsidRPr="008A6F6B">
        <w:rPr>
          <w:rFonts w:cs="Arial"/>
          <w:b/>
          <w:bCs/>
        </w:rPr>
        <w:t>Limited regret</w:t>
      </w:r>
      <w:r w:rsidRPr="008A6F6B">
        <w:rPr>
          <w:rFonts w:cs="Arial"/>
        </w:rPr>
        <w:t xml:space="preserve"> – most respondents were satisfied with the decisions they made at retirement (albeit combined with the above conclusion on education and low take </w:t>
      </w:r>
      <w:r w:rsidR="0057403F">
        <w:rPr>
          <w:rFonts w:cs="Arial"/>
        </w:rPr>
        <w:t>up of advice/guidance)</w:t>
      </w:r>
      <w:r w:rsidRPr="008A6F6B">
        <w:rPr>
          <w:rFonts w:cs="Arial"/>
        </w:rPr>
        <w:t>.</w:t>
      </w:r>
      <w:r w:rsidR="0057403F">
        <w:rPr>
          <w:rFonts w:cs="Arial"/>
        </w:rPr>
        <w:t xml:space="preserve"> This may still point to a lack of consumer understanding. </w:t>
      </w:r>
      <w:r w:rsidRPr="008A6F6B">
        <w:rPr>
          <w:rFonts w:cs="Arial"/>
        </w:rPr>
        <w:t xml:space="preserve"> </w:t>
      </w:r>
    </w:p>
    <w:p w14:paraId="4F8D1460" w14:textId="77777777" w:rsidR="008A6F6B" w:rsidRPr="008A6F6B" w:rsidRDefault="008A6F6B" w:rsidP="008A6F6B">
      <w:pPr>
        <w:spacing w:after="0" w:line="250" w:lineRule="exact"/>
        <w:rPr>
          <w:rFonts w:cs="Arial"/>
        </w:rPr>
      </w:pPr>
    </w:p>
    <w:p w14:paraId="72538069" w14:textId="77777777" w:rsidR="008A6F6B" w:rsidRPr="008A6F6B" w:rsidRDefault="008A6F6B" w:rsidP="008A6F6B">
      <w:pPr>
        <w:spacing w:after="0" w:line="250" w:lineRule="exact"/>
        <w:rPr>
          <w:rFonts w:cs="Arial"/>
        </w:rPr>
      </w:pPr>
    </w:p>
    <w:p w14:paraId="6C07361A" w14:textId="77777777" w:rsidR="008A6F6B" w:rsidRPr="008A6F6B" w:rsidRDefault="008A6F6B" w:rsidP="008A6F6B">
      <w:pPr>
        <w:spacing w:after="0" w:line="250" w:lineRule="exact"/>
        <w:rPr>
          <w:rFonts w:cs="Arial"/>
          <w:b/>
          <w:bCs/>
        </w:rPr>
      </w:pPr>
      <w:r w:rsidRPr="008A6F6B">
        <w:rPr>
          <w:rFonts w:cs="Arial"/>
          <w:b/>
          <w:bCs/>
        </w:rPr>
        <w:t>Summary of our findings</w:t>
      </w:r>
    </w:p>
    <w:p w14:paraId="782460E0" w14:textId="77777777" w:rsidR="008A6F6B" w:rsidRDefault="008A6F6B" w:rsidP="008A6F6B">
      <w:pPr>
        <w:spacing w:after="0" w:line="250" w:lineRule="exact"/>
        <w:rPr>
          <w:rFonts w:cs="Arial"/>
        </w:rPr>
      </w:pPr>
    </w:p>
    <w:p w14:paraId="6BB37B67" w14:textId="77777777" w:rsidR="008A6F6B" w:rsidRDefault="008A6F6B" w:rsidP="008A6F6B">
      <w:pPr>
        <w:spacing w:after="0" w:line="250" w:lineRule="exact"/>
        <w:rPr>
          <w:rFonts w:cs="Arial"/>
        </w:rPr>
      </w:pPr>
      <w:r w:rsidRPr="008A6F6B">
        <w:rPr>
          <w:rFonts w:cs="Arial"/>
        </w:rPr>
        <w:t>Our latest study showed that:</w:t>
      </w:r>
    </w:p>
    <w:p w14:paraId="26A55721" w14:textId="77777777" w:rsidR="008A6F6B" w:rsidRPr="008A6F6B" w:rsidRDefault="008A6F6B" w:rsidP="008A6F6B">
      <w:pPr>
        <w:spacing w:after="0" w:line="250" w:lineRule="exact"/>
        <w:rPr>
          <w:rFonts w:cs="Arial"/>
        </w:rPr>
      </w:pPr>
    </w:p>
    <w:p w14:paraId="70B0EB2B" w14:textId="662D253D" w:rsidR="0057403F" w:rsidRDefault="008A6F6B" w:rsidP="008A6F6B">
      <w:pPr>
        <w:numPr>
          <w:ilvl w:val="0"/>
          <w:numId w:val="30"/>
        </w:numPr>
        <w:spacing w:after="0" w:line="250" w:lineRule="exact"/>
        <w:rPr>
          <w:rFonts w:cs="Arial"/>
        </w:rPr>
      </w:pPr>
      <w:r w:rsidRPr="008A6F6B">
        <w:rPr>
          <w:rFonts w:cs="Arial"/>
          <w:b/>
          <w:bCs/>
        </w:rPr>
        <w:t xml:space="preserve">Those most in need </w:t>
      </w:r>
      <w:r w:rsidR="0057403F">
        <w:rPr>
          <w:rFonts w:cs="Arial"/>
          <w:b/>
          <w:bCs/>
        </w:rPr>
        <w:t xml:space="preserve">to, are </w:t>
      </w:r>
      <w:r w:rsidRPr="008A6F6B">
        <w:rPr>
          <w:rFonts w:cs="Arial"/>
          <w:b/>
          <w:bCs/>
        </w:rPr>
        <w:t xml:space="preserve">least likely to access savings </w:t>
      </w:r>
      <w:r w:rsidRPr="008A6F6B">
        <w:rPr>
          <w:rFonts w:cs="Arial"/>
        </w:rPr>
        <w:t>- where individuals had not accessed their pension savings since the new rules were introduced, this was mainly because they didn’t have a need to access them. However, there was a significant difference by social background, with individuals from middle class backgrounds being 15% more likely than those working-class backgrounds to say that they didn’t need to access their pension. Individuals from working class backgrounds were more likely to state that they did not know how to access their pension or needed more information about how their options.</w:t>
      </w:r>
    </w:p>
    <w:p w14:paraId="0BE6F917" w14:textId="77777777" w:rsidR="0057403F" w:rsidRDefault="0057403F" w:rsidP="0057403F">
      <w:pPr>
        <w:spacing w:after="0" w:line="250" w:lineRule="exact"/>
        <w:ind w:left="720"/>
        <w:rPr>
          <w:rFonts w:cs="Arial"/>
        </w:rPr>
      </w:pPr>
    </w:p>
    <w:p w14:paraId="5F921747" w14:textId="29146FD2" w:rsidR="008A6F6B" w:rsidRPr="0057403F" w:rsidRDefault="0057403F" w:rsidP="0057403F">
      <w:pPr>
        <w:numPr>
          <w:ilvl w:val="0"/>
          <w:numId w:val="30"/>
        </w:numPr>
        <w:spacing w:after="0" w:line="250" w:lineRule="exact"/>
        <w:rPr>
          <w:rFonts w:cs="Arial"/>
        </w:rPr>
      </w:pPr>
      <w:r w:rsidRPr="008A6F6B">
        <w:rPr>
          <w:rFonts w:cs="Arial"/>
          <w:b/>
          <w:bCs/>
        </w:rPr>
        <w:t>Limited understanding</w:t>
      </w:r>
      <w:r w:rsidRPr="008A6F6B">
        <w:rPr>
          <w:rFonts w:cs="Arial"/>
        </w:rPr>
        <w:t xml:space="preserve"> – despite a high proportion of respondents claiming that advice was not necessary, a high proportion of individuals showed a worrying lack of understanding about pension products. Only 26% of individuals “fully understand” the charges they are paying for their defined contribution pension, with 17% admitting to “not understanding at all”. Similarly, only 30% were aware how their pension savings are invested, with 42% having “no idea”.</w:t>
      </w:r>
    </w:p>
    <w:p w14:paraId="0293D830" w14:textId="77777777" w:rsidR="008A6F6B" w:rsidRPr="008A6F6B" w:rsidRDefault="008A6F6B" w:rsidP="008A6F6B">
      <w:pPr>
        <w:spacing w:after="0" w:line="250" w:lineRule="exact"/>
        <w:rPr>
          <w:rFonts w:cs="Arial"/>
        </w:rPr>
      </w:pPr>
    </w:p>
    <w:p w14:paraId="7CD9514C" w14:textId="77777777" w:rsidR="008A6F6B" w:rsidRPr="008A6F6B" w:rsidRDefault="008A6F6B" w:rsidP="008A6F6B">
      <w:pPr>
        <w:numPr>
          <w:ilvl w:val="0"/>
          <w:numId w:val="30"/>
        </w:numPr>
        <w:spacing w:after="0" w:line="250" w:lineRule="exact"/>
        <w:rPr>
          <w:rFonts w:cs="Arial"/>
        </w:rPr>
      </w:pPr>
      <w:r w:rsidRPr="008A6F6B">
        <w:rPr>
          <w:rFonts w:cs="Arial"/>
          <w:b/>
          <w:bCs/>
        </w:rPr>
        <w:t>PensionsWise is not well used</w:t>
      </w:r>
      <w:r w:rsidRPr="008A6F6B">
        <w:rPr>
          <w:rFonts w:cs="Arial"/>
        </w:rPr>
        <w:t xml:space="preserve"> - where pension savings had been accessed, only 20% of individuals used the Government’s Pensions service, Pensions Wise. </w:t>
      </w:r>
    </w:p>
    <w:p w14:paraId="3810C2BA" w14:textId="77777777" w:rsidR="008A6F6B" w:rsidRPr="008A6F6B" w:rsidRDefault="008A6F6B" w:rsidP="008A6F6B">
      <w:pPr>
        <w:spacing w:after="0" w:line="250" w:lineRule="exact"/>
        <w:rPr>
          <w:rFonts w:cs="Arial"/>
        </w:rPr>
      </w:pPr>
    </w:p>
    <w:p w14:paraId="760B3C8C" w14:textId="64C40DEC" w:rsidR="008A6F6B" w:rsidRPr="008A6F6B" w:rsidRDefault="008A6F6B" w:rsidP="008A6F6B">
      <w:pPr>
        <w:numPr>
          <w:ilvl w:val="0"/>
          <w:numId w:val="30"/>
        </w:numPr>
        <w:spacing w:after="0" w:line="250" w:lineRule="exact"/>
        <w:rPr>
          <w:rFonts w:cs="Arial"/>
        </w:rPr>
      </w:pPr>
      <w:r w:rsidRPr="008A6F6B">
        <w:rPr>
          <w:rFonts w:cs="Arial"/>
          <w:b/>
          <w:bCs/>
        </w:rPr>
        <w:t>A gender imbalance</w:t>
      </w:r>
      <w:r w:rsidRPr="008A6F6B">
        <w:rPr>
          <w:rFonts w:cs="Arial"/>
        </w:rPr>
        <w:t xml:space="preserve"> – there was evidence of a ge</w:t>
      </w:r>
      <w:r w:rsidR="0057403F">
        <w:rPr>
          <w:rFonts w:cs="Arial"/>
        </w:rPr>
        <w:t>nder imbalance with 58% of men, compared to 43% of women</w:t>
      </w:r>
      <w:r w:rsidRPr="008A6F6B">
        <w:rPr>
          <w:rFonts w:cs="Arial"/>
        </w:rPr>
        <w:t xml:space="preserve"> stating that they did not need to take guidance or advice. Furthermore, </w:t>
      </w:r>
      <w:r w:rsidR="0057403F">
        <w:rPr>
          <w:rFonts w:cs="Arial"/>
        </w:rPr>
        <w:t>where advice was required, men</w:t>
      </w:r>
      <w:r w:rsidRPr="008A6F6B">
        <w:rPr>
          <w:rFonts w:cs="Arial"/>
        </w:rPr>
        <w:t xml:space="preserve"> were 15% more likely to take tailored regulated financial advi</w:t>
      </w:r>
      <w:r w:rsidR="0057403F">
        <w:rPr>
          <w:rFonts w:cs="Arial"/>
        </w:rPr>
        <w:t>ce whereas women</w:t>
      </w:r>
      <w:r w:rsidRPr="008A6F6B">
        <w:rPr>
          <w:rFonts w:cs="Arial"/>
        </w:rPr>
        <w:t xml:space="preserve"> were 7% more likely to access generic guidance from PensionsWise and 6% more likely to ask friends or famil</w:t>
      </w:r>
      <w:r>
        <w:rPr>
          <w:rFonts w:cs="Arial"/>
        </w:rPr>
        <w:t>y. Therefore, despite perhaps requiring advice/guidance</w:t>
      </w:r>
      <w:r w:rsidR="0057403F">
        <w:rPr>
          <w:rFonts w:cs="Arial"/>
        </w:rPr>
        <w:t>, women</w:t>
      </w:r>
      <w:r w:rsidRPr="008A6F6B">
        <w:rPr>
          <w:rFonts w:cs="Arial"/>
        </w:rPr>
        <w:t xml:space="preserve"> were less likely to</w:t>
      </w:r>
      <w:r w:rsidR="0057403F">
        <w:rPr>
          <w:rFonts w:cs="Arial"/>
        </w:rPr>
        <w:t xml:space="preserve"> access tailored advice. Women</w:t>
      </w:r>
      <w:r w:rsidRPr="008A6F6B">
        <w:rPr>
          <w:rFonts w:cs="Arial"/>
        </w:rPr>
        <w:t xml:space="preserve"> were 8% more likely to state that cost or knowing where to find advice as the barrier. </w:t>
      </w:r>
    </w:p>
    <w:p w14:paraId="281EC50A" w14:textId="77777777" w:rsidR="008A6F6B" w:rsidRPr="008A6F6B" w:rsidRDefault="008A6F6B" w:rsidP="008A6F6B">
      <w:pPr>
        <w:spacing w:after="0" w:line="250" w:lineRule="exact"/>
        <w:rPr>
          <w:rFonts w:cs="Arial"/>
        </w:rPr>
      </w:pPr>
    </w:p>
    <w:p w14:paraId="3F79E5FA" w14:textId="77777777" w:rsidR="008A6F6B" w:rsidRPr="008A6F6B" w:rsidRDefault="008A6F6B" w:rsidP="008A6F6B">
      <w:pPr>
        <w:numPr>
          <w:ilvl w:val="0"/>
          <w:numId w:val="30"/>
        </w:numPr>
        <w:spacing w:after="0" w:line="250" w:lineRule="exact"/>
        <w:rPr>
          <w:rFonts w:cs="Arial"/>
        </w:rPr>
      </w:pPr>
      <w:r w:rsidRPr="008A6F6B">
        <w:rPr>
          <w:rFonts w:cs="Arial"/>
          <w:b/>
          <w:bCs/>
        </w:rPr>
        <w:t>Flexibility is a good thing</w:t>
      </w:r>
      <w:r w:rsidRPr="008A6F6B">
        <w:rPr>
          <w:rFonts w:cs="Arial"/>
        </w:rPr>
        <w:t xml:space="preserve"> – reassuringly, 68% of individuals who accessed their pensions savings since 2016 would not do anything differently next time. Of the individuals who would have done something different, 9% would have planned earlier to better understand their options and 9% would have liked more flexibility or cash. </w:t>
      </w:r>
    </w:p>
    <w:p w14:paraId="42787D63" w14:textId="77777777" w:rsidR="008A6F6B" w:rsidRPr="008A6F6B" w:rsidRDefault="008A6F6B" w:rsidP="008A6F6B">
      <w:pPr>
        <w:spacing w:after="0" w:line="250" w:lineRule="exact"/>
        <w:rPr>
          <w:rFonts w:cs="Arial"/>
        </w:rPr>
      </w:pPr>
    </w:p>
    <w:p w14:paraId="236F2971" w14:textId="77777777" w:rsidR="008A6F6B" w:rsidRPr="008A6F6B" w:rsidRDefault="008A6F6B" w:rsidP="008A6F6B">
      <w:pPr>
        <w:numPr>
          <w:ilvl w:val="0"/>
          <w:numId w:val="30"/>
        </w:numPr>
        <w:spacing w:after="0" w:line="250" w:lineRule="exact"/>
        <w:rPr>
          <w:rFonts w:cs="Arial"/>
        </w:rPr>
      </w:pPr>
      <w:r w:rsidRPr="008A6F6B">
        <w:rPr>
          <w:rFonts w:cs="Arial"/>
          <w:b/>
          <w:bCs/>
        </w:rPr>
        <w:t xml:space="preserve">Money concerns </w:t>
      </w:r>
      <w:r w:rsidRPr="008A6F6B">
        <w:rPr>
          <w:rFonts w:cs="Arial"/>
        </w:rPr>
        <w:t xml:space="preserve">– 22% of respondents worry about running out of money in retirement, whilst 18% of respondents worry about not fully understanding their options, or products. These concerns were highest in the respondents aged 55 – 64 who will be approaching retirement within the next 5-10 years. </w:t>
      </w:r>
    </w:p>
    <w:p w14:paraId="7A958BCB" w14:textId="77777777" w:rsidR="008A6F6B" w:rsidRPr="008A6F6B" w:rsidRDefault="008A6F6B" w:rsidP="008A6F6B">
      <w:pPr>
        <w:spacing w:after="0" w:line="250" w:lineRule="exact"/>
        <w:rPr>
          <w:rFonts w:cs="Arial"/>
        </w:rPr>
      </w:pPr>
    </w:p>
    <w:p w14:paraId="22C637C9" w14:textId="77777777" w:rsidR="008A6F6B" w:rsidRDefault="008A6F6B" w:rsidP="008A6F6B">
      <w:pPr>
        <w:spacing w:after="0" w:line="250" w:lineRule="exact"/>
        <w:rPr>
          <w:rFonts w:cs="Arial"/>
          <w:b/>
          <w:bCs/>
        </w:rPr>
      </w:pPr>
    </w:p>
    <w:p w14:paraId="071E18E0" w14:textId="77777777" w:rsidR="008A6F6B" w:rsidRDefault="008A6F6B" w:rsidP="008A6F6B">
      <w:pPr>
        <w:spacing w:after="0" w:line="250" w:lineRule="exact"/>
        <w:rPr>
          <w:rFonts w:cs="Arial"/>
          <w:b/>
          <w:bCs/>
        </w:rPr>
      </w:pPr>
    </w:p>
    <w:p w14:paraId="28ACF79C" w14:textId="77777777" w:rsidR="008A6F6B" w:rsidRDefault="008A6F6B" w:rsidP="008A6F6B">
      <w:pPr>
        <w:spacing w:after="0" w:line="250" w:lineRule="exact"/>
        <w:rPr>
          <w:rFonts w:cs="Arial"/>
          <w:b/>
          <w:bCs/>
        </w:rPr>
      </w:pPr>
    </w:p>
    <w:p w14:paraId="0EA3D1EC" w14:textId="77777777" w:rsidR="008A6F6B" w:rsidRDefault="008A6F6B" w:rsidP="008A6F6B">
      <w:pPr>
        <w:spacing w:after="0" w:line="250" w:lineRule="exact"/>
        <w:rPr>
          <w:rFonts w:cs="Arial"/>
          <w:b/>
          <w:bCs/>
        </w:rPr>
      </w:pPr>
    </w:p>
    <w:p w14:paraId="3DB911B1" w14:textId="77777777" w:rsidR="008A6F6B" w:rsidRDefault="008A6F6B" w:rsidP="008A6F6B">
      <w:pPr>
        <w:spacing w:after="0" w:line="250" w:lineRule="exact"/>
        <w:rPr>
          <w:rFonts w:cs="Arial"/>
          <w:b/>
          <w:bCs/>
        </w:rPr>
      </w:pPr>
    </w:p>
    <w:p w14:paraId="7FE88DA9" w14:textId="77777777" w:rsidR="008A6F6B" w:rsidRDefault="008A6F6B" w:rsidP="008A6F6B">
      <w:pPr>
        <w:spacing w:after="0" w:line="250" w:lineRule="exact"/>
        <w:rPr>
          <w:rFonts w:cs="Arial"/>
          <w:b/>
          <w:bCs/>
        </w:rPr>
      </w:pPr>
    </w:p>
    <w:p w14:paraId="178F8ED9" w14:textId="77777777" w:rsidR="008A6F6B" w:rsidRDefault="008A6F6B" w:rsidP="008A6F6B">
      <w:pPr>
        <w:spacing w:after="0" w:line="250" w:lineRule="exact"/>
        <w:rPr>
          <w:rFonts w:cs="Arial"/>
          <w:b/>
          <w:bCs/>
        </w:rPr>
      </w:pPr>
    </w:p>
    <w:p w14:paraId="48B134B6" w14:textId="77777777" w:rsidR="008A6F6B" w:rsidRPr="008A6F6B" w:rsidRDefault="008A6F6B" w:rsidP="008A6F6B">
      <w:pPr>
        <w:spacing w:after="0" w:line="250" w:lineRule="exact"/>
        <w:rPr>
          <w:rFonts w:cs="Arial"/>
          <w:b/>
          <w:bCs/>
        </w:rPr>
      </w:pPr>
      <w:r w:rsidRPr="008A6F6B">
        <w:rPr>
          <w:rFonts w:cs="Arial"/>
          <w:b/>
          <w:bCs/>
        </w:rPr>
        <w:t>About our research population</w:t>
      </w:r>
    </w:p>
    <w:p w14:paraId="2956EF11" w14:textId="77777777" w:rsidR="008A6F6B" w:rsidRDefault="008A6F6B" w:rsidP="008A6F6B">
      <w:pPr>
        <w:spacing w:after="0" w:line="250" w:lineRule="exact"/>
        <w:rPr>
          <w:rFonts w:cs="Arial"/>
        </w:rPr>
      </w:pPr>
    </w:p>
    <w:p w14:paraId="514014AA" w14:textId="77777777" w:rsidR="008A6F6B" w:rsidRDefault="008A6F6B" w:rsidP="008A6F6B">
      <w:pPr>
        <w:spacing w:after="0" w:line="250" w:lineRule="exact"/>
        <w:rPr>
          <w:rFonts w:cs="Arial"/>
        </w:rPr>
      </w:pPr>
      <w:r w:rsidRPr="008A6F6B">
        <w:rPr>
          <w:rFonts w:cs="Arial"/>
        </w:rPr>
        <w:t>The research was carried out by YouGov covering 2,065 adults in Great Britain aged over 55 between 28-31 January 2022. The population characteristics were:</w:t>
      </w:r>
    </w:p>
    <w:p w14:paraId="7967D772" w14:textId="77777777" w:rsidR="008A6F6B" w:rsidRPr="008A6F6B" w:rsidRDefault="008A6F6B" w:rsidP="008A6F6B">
      <w:pPr>
        <w:spacing w:after="0" w:line="250" w:lineRule="exact"/>
        <w:rPr>
          <w:rFonts w:cs="Arial"/>
        </w:rPr>
      </w:pPr>
    </w:p>
    <w:p w14:paraId="2265A2D7" w14:textId="77777777" w:rsidR="008A6F6B" w:rsidRPr="008A6F6B" w:rsidRDefault="008A6F6B" w:rsidP="008A6F6B">
      <w:pPr>
        <w:numPr>
          <w:ilvl w:val="0"/>
          <w:numId w:val="29"/>
        </w:numPr>
        <w:spacing w:after="0" w:line="250" w:lineRule="exact"/>
        <w:rPr>
          <w:rFonts w:cs="Arial"/>
        </w:rPr>
      </w:pPr>
      <w:r w:rsidRPr="008A6F6B">
        <w:rPr>
          <w:rFonts w:cs="Arial"/>
        </w:rPr>
        <w:t>53% male and 47% female;</w:t>
      </w:r>
    </w:p>
    <w:p w14:paraId="3024C6DB" w14:textId="77777777" w:rsidR="008A6F6B" w:rsidRPr="008A6F6B" w:rsidRDefault="008A6F6B" w:rsidP="008A6F6B">
      <w:pPr>
        <w:numPr>
          <w:ilvl w:val="0"/>
          <w:numId w:val="29"/>
        </w:numPr>
        <w:spacing w:after="0" w:line="250" w:lineRule="exact"/>
        <w:rPr>
          <w:rFonts w:cs="Arial"/>
        </w:rPr>
      </w:pPr>
      <w:r w:rsidRPr="008A6F6B">
        <w:rPr>
          <w:rFonts w:cs="Arial"/>
        </w:rPr>
        <w:t>59% from individuals from middle class (A, B, C1) social grades and 41% working class (C2, D, e) social grades;</w:t>
      </w:r>
    </w:p>
    <w:p w14:paraId="0DED949B" w14:textId="77777777" w:rsidR="008A6F6B" w:rsidRPr="008A6F6B" w:rsidRDefault="008A6F6B" w:rsidP="008A6F6B">
      <w:pPr>
        <w:numPr>
          <w:ilvl w:val="0"/>
          <w:numId w:val="29"/>
        </w:numPr>
        <w:spacing w:after="0" w:line="250" w:lineRule="exact"/>
        <w:rPr>
          <w:rFonts w:cs="Arial"/>
        </w:rPr>
      </w:pPr>
      <w:r w:rsidRPr="008A6F6B">
        <w:rPr>
          <w:rFonts w:cs="Arial"/>
        </w:rPr>
        <w:t>Distributed across England, Wales and Scotland;</w:t>
      </w:r>
    </w:p>
    <w:p w14:paraId="6E6AB800" w14:textId="77777777" w:rsidR="008A6F6B" w:rsidRPr="008A6F6B" w:rsidRDefault="008A6F6B" w:rsidP="008A6F6B">
      <w:pPr>
        <w:numPr>
          <w:ilvl w:val="0"/>
          <w:numId w:val="29"/>
        </w:numPr>
        <w:spacing w:after="0" w:line="250" w:lineRule="exact"/>
        <w:rPr>
          <w:rFonts w:cs="Arial"/>
        </w:rPr>
      </w:pPr>
      <w:r w:rsidRPr="008A6F6B">
        <w:rPr>
          <w:rFonts w:cs="Arial"/>
        </w:rPr>
        <w:t>Covering a range of health, employment and cohabitation statuses.</w:t>
      </w:r>
    </w:p>
    <w:p w14:paraId="365277E3" w14:textId="77777777" w:rsidR="008A6F6B" w:rsidRDefault="008A6F6B" w:rsidP="00983BC0">
      <w:pPr>
        <w:spacing w:after="0" w:line="250" w:lineRule="exact"/>
        <w:rPr>
          <w:rFonts w:cs="Arial"/>
        </w:rPr>
      </w:pPr>
    </w:p>
    <w:p w14:paraId="14CE0992" w14:textId="77777777" w:rsidR="008A6F6B" w:rsidRPr="00983BC0" w:rsidRDefault="008A6F6B" w:rsidP="00983BC0">
      <w:pPr>
        <w:spacing w:after="0" w:line="250" w:lineRule="exact"/>
        <w:rPr>
          <w:rFonts w:cs="Arial"/>
        </w:rPr>
      </w:pPr>
    </w:p>
    <w:sectPr w:rsidR="008A6F6B" w:rsidRPr="00983BC0" w:rsidSect="00990DEA">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8CDE" w14:textId="77777777" w:rsidR="000E422D" w:rsidRDefault="000E422D" w:rsidP="00B652E6">
      <w:pPr>
        <w:spacing w:after="0" w:line="240" w:lineRule="auto"/>
      </w:pPr>
      <w:r>
        <w:separator/>
      </w:r>
    </w:p>
  </w:endnote>
  <w:endnote w:type="continuationSeparator" w:id="0">
    <w:p w14:paraId="0DDEE5C1" w14:textId="77777777" w:rsidR="000E422D" w:rsidRDefault="000E422D"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9FE" w14:textId="77777777" w:rsidR="00BA053F" w:rsidRDefault="00B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59B5" w14:textId="77777777"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10EBB755" wp14:editId="3DE5055B">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D140A"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14:anchorId="160B46DB" wp14:editId="49AA0E62">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14:paraId="3E10048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B46DB" id="_x0000_t202" coordsize="21600,21600" o:spt="202" path="m,l,21600r21600,l21600,xe">
              <v:stroke joinstyle="miter"/>
              <v:path gradientshapeok="t" o:connecttype="rect"/>
            </v:shapetype>
            <v:shape id="Text Box 13" o:spid="_x0000_s1026"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14:paraId="3E10048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14:paraId="5F6A4DC4" w14:textId="298FF7A4"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57403F">
      <w:rPr>
        <w:rFonts w:cs="Arial"/>
        <w:noProof/>
        <w:sz w:val="18"/>
        <w:szCs w:val="18"/>
      </w:rPr>
      <w:t>2</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4A58" w14:textId="77777777"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1D111F54" wp14:editId="34EB9589">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2D234"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14:paraId="14A2C479" w14:textId="77777777"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4CD46F34" wp14:editId="0CBAEDD8">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14:paraId="5BDA313D"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5C9FDF3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7C43ADC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4B6D9E5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760C96C"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71C0F32"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D46F34" id="_x0000_t202" coordsize="21600,21600" o:spt="202" path="m,l,21600r21600,l21600,xe">
              <v:stroke joinstyle="miter"/>
              <v:path gradientshapeok="t" o:connecttype="rect"/>
            </v:shapetype>
            <v:shape id="Text Box 1" o:spid="_x0000_s1030"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14:paraId="5BDA313D"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14:paraId="5C9FDF3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7C43ADC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4B6D9E5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4760C96C"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71C0F32"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435819C4" w14:textId="77777777" w:rsidR="00990DEA" w:rsidRDefault="00990DEA">
    <w:pPr>
      <w:pStyle w:val="Footer"/>
    </w:pPr>
  </w:p>
  <w:p w14:paraId="25E15CCE" w14:textId="77777777" w:rsidR="00990DEA" w:rsidRDefault="00990DEA">
    <w:pPr>
      <w:pStyle w:val="Footer"/>
    </w:pPr>
  </w:p>
  <w:p w14:paraId="51B21431" w14:textId="77777777" w:rsidR="00990DEA" w:rsidRDefault="00990DEA">
    <w:pPr>
      <w:pStyle w:val="Footer"/>
    </w:pPr>
  </w:p>
  <w:p w14:paraId="37BD6EF9" w14:textId="77777777" w:rsidR="00990DEA" w:rsidRDefault="00990DEA">
    <w:pPr>
      <w:pStyle w:val="Footer"/>
    </w:pPr>
  </w:p>
  <w:p w14:paraId="795711C2" w14:textId="77777777" w:rsidR="009B6834" w:rsidRDefault="009B6834">
    <w:pPr>
      <w:pStyle w:val="Footer"/>
    </w:pPr>
  </w:p>
  <w:p w14:paraId="1C512E5F" w14:textId="77777777"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7A4323AC" wp14:editId="7CBC8421">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68AC1E"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14:paraId="716CC5C1" w14:textId="77777777"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C426" w14:textId="77777777" w:rsidR="000E422D" w:rsidRDefault="000E422D" w:rsidP="00B652E6">
      <w:pPr>
        <w:spacing w:after="0" w:line="240" w:lineRule="auto"/>
      </w:pPr>
      <w:r>
        <w:separator/>
      </w:r>
    </w:p>
  </w:footnote>
  <w:footnote w:type="continuationSeparator" w:id="0">
    <w:p w14:paraId="5BF2948B" w14:textId="77777777" w:rsidR="000E422D" w:rsidRDefault="000E422D" w:rsidP="00B652E6">
      <w:pPr>
        <w:spacing w:after="0" w:line="240" w:lineRule="auto"/>
      </w:pPr>
      <w:r>
        <w:continuationSeparator/>
      </w:r>
    </w:p>
  </w:footnote>
  <w:footnote w:id="1">
    <w:p w14:paraId="1BDB5A04" w14:textId="4CB4B8EB" w:rsidR="0057403F" w:rsidRPr="0057403F" w:rsidRDefault="0057403F">
      <w:pPr>
        <w:pStyle w:val="FootnoteText"/>
        <w:rPr>
          <w:lang w:val="en-US"/>
        </w:rPr>
      </w:pPr>
      <w:r>
        <w:rPr>
          <w:rStyle w:val="FootnoteReference"/>
        </w:rPr>
        <w:footnoteRef/>
      </w:r>
      <w:r>
        <w:t xml:space="preserve"> </w:t>
      </w:r>
      <w:r w:rsidRPr="0057403F">
        <w:t>https://www.gov.uk/government/publications/pensions-tax-pensions-advice-allowance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DFE5" w14:textId="77777777" w:rsidR="00BA053F" w:rsidRDefault="00B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BF30" w14:textId="77777777" w:rsidR="0052522D" w:rsidRPr="0052522D" w:rsidRDefault="0052522D" w:rsidP="0052522D">
    <w:pPr>
      <w:pStyle w:val="Header"/>
    </w:pPr>
    <w: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ED6C" w14:textId="77777777"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1BF6A2BD" wp14:editId="5FCDFE08">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4DF9"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7C975CC8" wp14:editId="55CF69BA">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1117F531" wp14:editId="5F260C80">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E4634" w14:textId="407D2142" w:rsidR="00EE3178" w:rsidRDefault="008634D2" w:rsidP="008634D2">
                          <w:pPr>
                            <w:rPr>
                              <w:rFonts w:cs="Arial"/>
                              <w:b/>
                              <w:color w:val="FFFFFF" w:themeColor="background2"/>
                            </w:rPr>
                          </w:pPr>
                          <w:r>
                            <w:rPr>
                              <w:rFonts w:cs="Arial"/>
                              <w:b/>
                              <w:color w:val="FFFFFF" w:themeColor="background2"/>
                              <w:vertAlign w:val="superscript"/>
                            </w:rPr>
                            <w:t xml:space="preserve"> </w:t>
                          </w:r>
                          <w:r>
                            <w:rPr>
                              <w:rFonts w:cs="Arial"/>
                              <w:b/>
                              <w:color w:val="FFFFFF" w:themeColor="background2"/>
                            </w:rPr>
                            <w:t xml:space="preserve">  </w:t>
                          </w:r>
                          <w:r w:rsidR="00EE50A0">
                            <w:rPr>
                              <w:rFonts w:cs="Arial"/>
                              <w:b/>
                              <w:color w:val="FFFFFF" w:themeColor="background2"/>
                            </w:rPr>
                            <w:t>27</w:t>
                          </w:r>
                          <w:r w:rsidR="00EE50A0">
                            <w:rPr>
                              <w:rFonts w:cs="Arial"/>
                              <w:b/>
                              <w:color w:val="FFFFFF" w:themeColor="background2"/>
                              <w:vertAlign w:val="superscript"/>
                            </w:rPr>
                            <w:t>th</w:t>
                          </w:r>
                          <w:r w:rsidR="008A6F6B">
                            <w:rPr>
                              <w:rFonts w:cs="Arial"/>
                              <w:b/>
                              <w:color w:val="FFFFFF" w:themeColor="background2"/>
                            </w:rPr>
                            <w:t xml:space="preserve"> February</w:t>
                          </w:r>
                          <w:r>
                            <w:rPr>
                              <w:rFonts w:cs="Arial"/>
                              <w:b/>
                              <w:color w:val="FFFFFF" w:themeColor="background2"/>
                            </w:rPr>
                            <w:t xml:space="preserve"> 2022</w:t>
                          </w:r>
                        </w:p>
                        <w:p w14:paraId="5177F6B5" w14:textId="77777777" w:rsidR="00EE3178" w:rsidRPr="00EE3178" w:rsidRDefault="00EE3178" w:rsidP="00686676">
                          <w:pPr>
                            <w:rPr>
                              <w:rFonts w:cs="Arial"/>
                              <w:b/>
                              <w:color w:val="FFFFFF" w:themeColor="background2"/>
                            </w:rPr>
                          </w:pPr>
                        </w:p>
                        <w:p w14:paraId="024051FA"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7F531" id="_x0000_t202" coordsize="21600,21600" o:spt="202" path="m,l,21600r21600,l21600,xe">
              <v:stroke joinstyle="miter"/>
              <v:path gradientshapeok="t" o:connecttype="rect"/>
            </v:shapetype>
            <v:shape id="Text Box 7" o:spid="_x0000_s1027"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" filled="f" stroked="f" strokeweight=".5pt">
              <v:textbox inset="0,,0">
                <w:txbxContent>
                  <w:p w14:paraId="111E4634" w14:textId="407D2142" w:rsidR="00EE3178" w:rsidRDefault="008634D2" w:rsidP="008634D2">
                    <w:pPr>
                      <w:rPr>
                        <w:rFonts w:cs="Arial"/>
                        <w:b/>
                        <w:color w:val="FFFFFF" w:themeColor="background2"/>
                      </w:rPr>
                    </w:pPr>
                    <w:r>
                      <w:rPr>
                        <w:rFonts w:cs="Arial"/>
                        <w:b/>
                        <w:color w:val="FFFFFF" w:themeColor="background2"/>
                        <w:vertAlign w:val="superscript"/>
                      </w:rPr>
                      <w:t xml:space="preserve"> </w:t>
                    </w:r>
                    <w:r>
                      <w:rPr>
                        <w:rFonts w:cs="Arial"/>
                        <w:b/>
                        <w:color w:val="FFFFFF" w:themeColor="background2"/>
                      </w:rPr>
                      <w:t xml:space="preserve">  </w:t>
                    </w:r>
                    <w:r w:rsidR="00EE50A0">
                      <w:rPr>
                        <w:rFonts w:cs="Arial"/>
                        <w:b/>
                        <w:color w:val="FFFFFF" w:themeColor="background2"/>
                      </w:rPr>
                      <w:t>27</w:t>
                    </w:r>
                    <w:r w:rsidR="00EE50A0">
                      <w:rPr>
                        <w:rFonts w:cs="Arial"/>
                        <w:b/>
                        <w:color w:val="FFFFFF" w:themeColor="background2"/>
                        <w:vertAlign w:val="superscript"/>
                      </w:rPr>
                      <w:t>th</w:t>
                    </w:r>
                    <w:r w:rsidR="008A6F6B">
                      <w:rPr>
                        <w:rFonts w:cs="Arial"/>
                        <w:b/>
                        <w:color w:val="FFFFFF" w:themeColor="background2"/>
                      </w:rPr>
                      <w:t xml:space="preserve"> February</w:t>
                    </w:r>
                    <w:r>
                      <w:rPr>
                        <w:rFonts w:cs="Arial"/>
                        <w:b/>
                        <w:color w:val="FFFFFF" w:themeColor="background2"/>
                      </w:rPr>
                      <w:t xml:space="preserve"> 2022</w:t>
                    </w:r>
                  </w:p>
                  <w:p w14:paraId="5177F6B5" w14:textId="77777777" w:rsidR="00EE3178" w:rsidRPr="00EE3178" w:rsidRDefault="00EE3178" w:rsidP="00686676">
                    <w:pPr>
                      <w:rPr>
                        <w:rFonts w:cs="Arial"/>
                        <w:b/>
                        <w:color w:val="FFFFFF" w:themeColor="background2"/>
                      </w:rPr>
                    </w:pPr>
                  </w:p>
                  <w:p w14:paraId="024051FA" w14:textId="77777777" w:rsidR="00EE3178" w:rsidRPr="00686676" w:rsidRDefault="00EE3178">
                    <w:pPr>
                      <w:rPr>
                        <w:color w:val="FFFFFF" w:themeColor="background2"/>
                      </w:rPr>
                    </w:pPr>
                  </w:p>
                </w:txbxContent>
              </v:textbox>
              <w10:wrap anchory="page"/>
            </v:shape>
          </w:pict>
        </mc:Fallback>
      </mc:AlternateContent>
    </w:r>
    <w:r w:rsidR="0006274D">
      <w:rPr>
        <w:rFonts w:cs="Arial"/>
        <w:b/>
        <w:szCs w:val="20"/>
      </w:rPr>
      <w:tab/>
    </w:r>
    <w:r w:rsidR="0006274D">
      <w:rPr>
        <w:rFonts w:cs="Arial"/>
        <w:b/>
        <w:szCs w:val="20"/>
      </w:rPr>
      <w:tab/>
    </w:r>
    <w:r w:rsidR="0006274D" w:rsidRPr="00153DBD">
      <w:rPr>
        <w:rFonts w:cs="Arial"/>
        <w:b/>
        <w:szCs w:val="20"/>
      </w:rPr>
      <w:tab/>
      <w:t xml:space="preserve"> </w:t>
    </w:r>
  </w:p>
  <w:p w14:paraId="03A81258" w14:textId="77777777" w:rsidR="009B6834" w:rsidRDefault="009B6834">
    <w:pPr>
      <w:pStyle w:val="Header"/>
    </w:pPr>
  </w:p>
  <w:p w14:paraId="61D45FBB" w14:textId="77777777" w:rsidR="009B6834" w:rsidRDefault="009B6834">
    <w:pPr>
      <w:pStyle w:val="Header"/>
    </w:pPr>
  </w:p>
  <w:p w14:paraId="2B6977C1" w14:textId="77777777" w:rsidR="009B6834" w:rsidRDefault="009B6834">
    <w:pPr>
      <w:pStyle w:val="Header"/>
    </w:pPr>
  </w:p>
  <w:p w14:paraId="0823F365" w14:textId="77777777" w:rsidR="009B6834" w:rsidRDefault="009B6834">
    <w:pPr>
      <w:pStyle w:val="Header"/>
    </w:pPr>
  </w:p>
  <w:p w14:paraId="663D19B8" w14:textId="77777777" w:rsidR="009B6834" w:rsidRDefault="009B6834">
    <w:pPr>
      <w:pStyle w:val="Header"/>
    </w:pPr>
  </w:p>
  <w:p w14:paraId="5110923E" w14:textId="77777777" w:rsidR="009B6834" w:rsidRDefault="00584097">
    <w:pPr>
      <w:pStyle w:val="Header"/>
    </w:pPr>
    <w:r>
      <w:rPr>
        <w:noProof/>
        <w:lang w:eastAsia="en-GB"/>
      </w:rPr>
      <mc:AlternateContent>
        <mc:Choice Requires="wps">
          <w:drawing>
            <wp:anchor distT="0" distB="0" distL="114300" distR="114300" simplePos="0" relativeHeight="251676672" behindDoc="0" locked="0" layoutInCell="1" allowOverlap="1" wp14:anchorId="51BA7113" wp14:editId="7890D94A">
              <wp:simplePos x="0" y="0"/>
              <wp:positionH relativeFrom="margin">
                <wp:posOffset>-15240</wp:posOffset>
              </wp:positionH>
              <wp:positionV relativeFrom="paragraph">
                <wp:posOffset>107950</wp:posOffset>
              </wp:positionV>
              <wp:extent cx="6017260" cy="75247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B7E09" w14:textId="6D2B633A" w:rsidR="008A6F6B" w:rsidRPr="008A6F6B" w:rsidRDefault="008A6F6B" w:rsidP="008A6F6B">
                          <w:pPr>
                            <w:rPr>
                              <w:rFonts w:cs="Arial"/>
                              <w:b/>
                              <w:bCs/>
                              <w:color w:val="FFFFFF" w:themeColor="background2"/>
                              <w:sz w:val="32"/>
                              <w:szCs w:val="32"/>
                            </w:rPr>
                          </w:pPr>
                          <w:r w:rsidRPr="008A6F6B">
                            <w:rPr>
                              <w:rFonts w:cs="Arial"/>
                              <w:b/>
                              <w:bCs/>
                              <w:color w:val="FFFFFF" w:themeColor="background2"/>
                              <w:sz w:val="32"/>
                              <w:szCs w:val="32"/>
                            </w:rPr>
                            <w:t xml:space="preserve">Freedom and Choice: </w:t>
                          </w:r>
                          <w:r>
                            <w:rPr>
                              <w:rFonts w:cs="Arial"/>
                              <w:b/>
                              <w:bCs/>
                              <w:color w:val="FFFFFF" w:themeColor="background2"/>
                              <w:sz w:val="32"/>
                              <w:szCs w:val="32"/>
                            </w:rPr>
                            <w:t xml:space="preserve">IFoA consumer research on </w:t>
                          </w:r>
                          <w:r w:rsidRPr="008A6F6B">
                            <w:rPr>
                              <w:rFonts w:cs="Arial"/>
                              <w:b/>
                              <w:bCs/>
                              <w:color w:val="FFFFFF" w:themeColor="background2"/>
                              <w:sz w:val="32"/>
                              <w:szCs w:val="32"/>
                            </w:rPr>
                            <w:t>public attitudes 7 years on</w:t>
                          </w:r>
                        </w:p>
                        <w:p w14:paraId="00CA4972" w14:textId="77777777" w:rsidR="008634D2" w:rsidRPr="008634D2" w:rsidRDefault="008634D2" w:rsidP="008634D2">
                          <w:pPr>
                            <w:rPr>
                              <w:rFonts w:cs="Arial"/>
                              <w:b/>
                              <w:bCs/>
                              <w:color w:val="FFFFFF" w:themeColor="background2"/>
                              <w:sz w:val="32"/>
                              <w:szCs w:val="32"/>
                            </w:rPr>
                          </w:pPr>
                        </w:p>
                        <w:p w14:paraId="6B703948"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7113" id="Text Box 6" o:spid="_x0000_s1028" type="#_x0000_t202" style="position:absolute;margin-left:-1.2pt;margin-top:8.5pt;width:473.8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" filled="f" stroked="f" strokeweight=".5pt">
              <v:textbox inset="0,,0">
                <w:txbxContent>
                  <w:p w14:paraId="496B7E09" w14:textId="6D2B633A" w:rsidR="008A6F6B" w:rsidRPr="008A6F6B" w:rsidRDefault="008A6F6B" w:rsidP="008A6F6B">
                    <w:pPr>
                      <w:rPr>
                        <w:rFonts w:cs="Arial"/>
                        <w:b/>
                        <w:bCs/>
                        <w:color w:val="FFFFFF" w:themeColor="background2"/>
                        <w:sz w:val="32"/>
                        <w:szCs w:val="32"/>
                      </w:rPr>
                    </w:pPr>
                    <w:r w:rsidRPr="008A6F6B">
                      <w:rPr>
                        <w:rFonts w:cs="Arial"/>
                        <w:b/>
                        <w:bCs/>
                        <w:color w:val="FFFFFF" w:themeColor="background2"/>
                        <w:sz w:val="32"/>
                        <w:szCs w:val="32"/>
                      </w:rPr>
                      <w:t xml:space="preserve">Freedom and Choice: </w:t>
                    </w:r>
                    <w:r>
                      <w:rPr>
                        <w:rFonts w:cs="Arial"/>
                        <w:b/>
                        <w:bCs/>
                        <w:color w:val="FFFFFF" w:themeColor="background2"/>
                        <w:sz w:val="32"/>
                        <w:szCs w:val="32"/>
                      </w:rPr>
                      <w:t xml:space="preserve">IFoA consumer research on </w:t>
                    </w:r>
                    <w:r w:rsidRPr="008A6F6B">
                      <w:rPr>
                        <w:rFonts w:cs="Arial"/>
                        <w:b/>
                        <w:bCs/>
                        <w:color w:val="FFFFFF" w:themeColor="background2"/>
                        <w:sz w:val="32"/>
                        <w:szCs w:val="32"/>
                      </w:rPr>
                      <w:t>public attitudes 7 years on</w:t>
                    </w:r>
                  </w:p>
                  <w:p w14:paraId="00CA4972" w14:textId="77777777" w:rsidR="008634D2" w:rsidRPr="008634D2" w:rsidRDefault="008634D2" w:rsidP="008634D2">
                    <w:pPr>
                      <w:rPr>
                        <w:rFonts w:cs="Arial"/>
                        <w:b/>
                        <w:bCs/>
                        <w:color w:val="FFFFFF" w:themeColor="background2"/>
                        <w:sz w:val="32"/>
                        <w:szCs w:val="32"/>
                      </w:rPr>
                    </w:pPr>
                  </w:p>
                  <w:p w14:paraId="6B703948" w14:textId="77777777" w:rsidR="00EE3178" w:rsidRPr="00686676" w:rsidRDefault="00EE3178">
                    <w:pPr>
                      <w:rPr>
                        <w:color w:val="FFFFFF" w:themeColor="background2"/>
                      </w:rPr>
                    </w:pPr>
                  </w:p>
                </w:txbxContent>
              </v:textbox>
              <w10:wrap anchorx="margin"/>
            </v:shape>
          </w:pict>
        </mc:Fallback>
      </mc:AlternateContent>
    </w:r>
  </w:p>
  <w:p w14:paraId="03C72BAB" w14:textId="77777777" w:rsidR="00D84325" w:rsidRDefault="00D84325">
    <w:pPr>
      <w:pStyle w:val="Header"/>
    </w:pPr>
  </w:p>
  <w:p w14:paraId="0AE2FC1E" w14:textId="77777777" w:rsidR="00D84325" w:rsidRDefault="00D84325">
    <w:pPr>
      <w:pStyle w:val="Header"/>
    </w:pPr>
  </w:p>
  <w:p w14:paraId="40EEB8D4" w14:textId="77777777"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67ECE198" wp14:editId="05976BD9">
              <wp:simplePos x="0" y="0"/>
              <wp:positionH relativeFrom="margin">
                <wp:posOffset>-5716</wp:posOffset>
              </wp:positionH>
              <wp:positionV relativeFrom="paragraph">
                <wp:posOffset>469900</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B5492" w14:textId="77777777"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05E84540" w14:textId="77777777"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E198" id="Text Box 3" o:spid="_x0000_s1029" type="#_x0000_t202" style="position:absolute;margin-left:-.45pt;margin-top:37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" filled="f" stroked="f" strokeweight=".5pt">
              <v:textbox inset="0,,0">
                <w:txbxContent>
                  <w:p w14:paraId="35FB5492" w14:textId="77777777"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05E84540" w14:textId="77777777"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BFF"/>
    <w:multiLevelType w:val="hybridMultilevel"/>
    <w:tmpl w:val="889EA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DFA"/>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C32E4"/>
    <w:multiLevelType w:val="hybridMultilevel"/>
    <w:tmpl w:val="0EDC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68AF"/>
    <w:multiLevelType w:val="hybridMultilevel"/>
    <w:tmpl w:val="12E2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43E72"/>
    <w:multiLevelType w:val="hybridMultilevel"/>
    <w:tmpl w:val="FA5C322E"/>
    <w:lvl w:ilvl="0" w:tplc="BB6A8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1B45"/>
    <w:multiLevelType w:val="hybridMultilevel"/>
    <w:tmpl w:val="072CA450"/>
    <w:lvl w:ilvl="0" w:tplc="998C1CD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BF650C"/>
    <w:multiLevelType w:val="hybridMultilevel"/>
    <w:tmpl w:val="CFF692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7160C"/>
    <w:multiLevelType w:val="hybridMultilevel"/>
    <w:tmpl w:val="B8DAF10A"/>
    <w:lvl w:ilvl="0" w:tplc="F4FE6D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E22B6"/>
    <w:multiLevelType w:val="multilevel"/>
    <w:tmpl w:val="B89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535AD"/>
    <w:multiLevelType w:val="multilevel"/>
    <w:tmpl w:val="C7049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5D5C59"/>
    <w:multiLevelType w:val="hybridMultilevel"/>
    <w:tmpl w:val="14B6F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DB91705"/>
    <w:multiLevelType w:val="hybridMultilevel"/>
    <w:tmpl w:val="979820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21ADA"/>
    <w:multiLevelType w:val="multilevel"/>
    <w:tmpl w:val="A466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635DCC"/>
    <w:multiLevelType w:val="hybridMultilevel"/>
    <w:tmpl w:val="D62E4E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D72F3"/>
    <w:multiLevelType w:val="multilevel"/>
    <w:tmpl w:val="3FAA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526EE"/>
    <w:multiLevelType w:val="hybridMultilevel"/>
    <w:tmpl w:val="523670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A7583"/>
    <w:multiLevelType w:val="hybridMultilevel"/>
    <w:tmpl w:val="D8C48EEE"/>
    <w:lvl w:ilvl="0" w:tplc="98324EB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17338"/>
    <w:multiLevelType w:val="hybridMultilevel"/>
    <w:tmpl w:val="148A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40328"/>
    <w:multiLevelType w:val="hybridMultilevel"/>
    <w:tmpl w:val="1EFC319C"/>
    <w:lvl w:ilvl="0" w:tplc="F73E96F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B06A6"/>
    <w:multiLevelType w:val="hybridMultilevel"/>
    <w:tmpl w:val="78B2A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2A6C3E"/>
    <w:multiLevelType w:val="hybridMultilevel"/>
    <w:tmpl w:val="721C3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608B4"/>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714D83"/>
    <w:multiLevelType w:val="hybridMultilevel"/>
    <w:tmpl w:val="9580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C3F7F"/>
    <w:multiLevelType w:val="hybridMultilevel"/>
    <w:tmpl w:val="97BCAC4E"/>
    <w:lvl w:ilvl="0" w:tplc="8C5A037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78695683">
    <w:abstractNumId w:val="26"/>
  </w:num>
  <w:num w:numId="2" w16cid:durableId="676663466">
    <w:abstractNumId w:val="3"/>
  </w:num>
  <w:num w:numId="3" w16cid:durableId="1175069481">
    <w:abstractNumId w:val="27"/>
  </w:num>
  <w:num w:numId="4" w16cid:durableId="1459301909">
    <w:abstractNumId w:val="23"/>
  </w:num>
  <w:num w:numId="5" w16cid:durableId="703019098">
    <w:abstractNumId w:val="14"/>
  </w:num>
  <w:num w:numId="6" w16cid:durableId="705106302">
    <w:abstractNumId w:val="13"/>
  </w:num>
  <w:num w:numId="7" w16cid:durableId="984551471">
    <w:abstractNumId w:val="2"/>
  </w:num>
  <w:num w:numId="8" w16cid:durableId="642655582">
    <w:abstractNumId w:val="22"/>
  </w:num>
  <w:num w:numId="9" w16cid:durableId="89206111">
    <w:abstractNumId w:val="11"/>
  </w:num>
  <w:num w:numId="10" w16cid:durableId="2080322693">
    <w:abstractNumId w:val="24"/>
  </w:num>
  <w:num w:numId="11" w16cid:durableId="422997572">
    <w:abstractNumId w:val="4"/>
  </w:num>
  <w:num w:numId="12" w16cid:durableId="1623925389">
    <w:abstractNumId w:val="6"/>
  </w:num>
  <w:num w:numId="13" w16cid:durableId="179860776">
    <w:abstractNumId w:val="1"/>
  </w:num>
  <w:num w:numId="14" w16cid:durableId="460920850">
    <w:abstractNumId w:val="28"/>
  </w:num>
  <w:num w:numId="15" w16cid:durableId="1562449572">
    <w:abstractNumId w:val="30"/>
  </w:num>
  <w:num w:numId="16" w16cid:durableId="2118862536">
    <w:abstractNumId w:val="16"/>
  </w:num>
  <w:num w:numId="17" w16cid:durableId="802191022">
    <w:abstractNumId w:val="7"/>
  </w:num>
  <w:num w:numId="18" w16cid:durableId="353699425">
    <w:abstractNumId w:val="8"/>
  </w:num>
  <w:num w:numId="19" w16cid:durableId="1455245134">
    <w:abstractNumId w:val="21"/>
  </w:num>
  <w:num w:numId="20" w16cid:durableId="1396463849">
    <w:abstractNumId w:val="19"/>
  </w:num>
  <w:num w:numId="21" w16cid:durableId="117797789">
    <w:abstractNumId w:val="25"/>
  </w:num>
  <w:num w:numId="22" w16cid:durableId="1493565841">
    <w:abstractNumId w:val="17"/>
  </w:num>
  <w:num w:numId="23" w16cid:durableId="2084179749">
    <w:abstractNumId w:val="9"/>
  </w:num>
  <w:num w:numId="24" w16cid:durableId="1027562391">
    <w:abstractNumId w:val="20"/>
  </w:num>
  <w:num w:numId="25" w16cid:durableId="1317412782">
    <w:abstractNumId w:val="15"/>
  </w:num>
  <w:num w:numId="26" w16cid:durableId="1715234287">
    <w:abstractNumId w:val="29"/>
  </w:num>
  <w:num w:numId="27" w16cid:durableId="1647317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4256598">
    <w:abstractNumId w:val="5"/>
  </w:num>
  <w:num w:numId="29" w16cid:durableId="1903129565">
    <w:abstractNumId w:val="0"/>
  </w:num>
  <w:num w:numId="30" w16cid:durableId="1953515253">
    <w:abstractNumId w:val="12"/>
  </w:num>
  <w:num w:numId="31" w16cid:durableId="18291292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DE"/>
    <w:rsid w:val="00026B98"/>
    <w:rsid w:val="0003259D"/>
    <w:rsid w:val="000578A4"/>
    <w:rsid w:val="0006274D"/>
    <w:rsid w:val="000645F1"/>
    <w:rsid w:val="0007250F"/>
    <w:rsid w:val="00083DBE"/>
    <w:rsid w:val="000A1223"/>
    <w:rsid w:val="000A19D9"/>
    <w:rsid w:val="000C4679"/>
    <w:rsid w:val="000D513E"/>
    <w:rsid w:val="000E422D"/>
    <w:rsid w:val="00102DA0"/>
    <w:rsid w:val="00153B71"/>
    <w:rsid w:val="00161879"/>
    <w:rsid w:val="00190F29"/>
    <w:rsid w:val="001A4766"/>
    <w:rsid w:val="001A7536"/>
    <w:rsid w:val="001A7B29"/>
    <w:rsid w:val="001C66C1"/>
    <w:rsid w:val="001D1BD8"/>
    <w:rsid w:val="001E3653"/>
    <w:rsid w:val="00221026"/>
    <w:rsid w:val="0025345D"/>
    <w:rsid w:val="00255582"/>
    <w:rsid w:val="00295A8E"/>
    <w:rsid w:val="002C0B47"/>
    <w:rsid w:val="002D5243"/>
    <w:rsid w:val="002F15BC"/>
    <w:rsid w:val="002F3640"/>
    <w:rsid w:val="0031599C"/>
    <w:rsid w:val="003222AE"/>
    <w:rsid w:val="00327358"/>
    <w:rsid w:val="00334CF1"/>
    <w:rsid w:val="00340C80"/>
    <w:rsid w:val="00341B0E"/>
    <w:rsid w:val="00343242"/>
    <w:rsid w:val="00357CF6"/>
    <w:rsid w:val="00375442"/>
    <w:rsid w:val="003858EE"/>
    <w:rsid w:val="00396145"/>
    <w:rsid w:val="003A08EE"/>
    <w:rsid w:val="003A1370"/>
    <w:rsid w:val="003A1E8A"/>
    <w:rsid w:val="003A53DE"/>
    <w:rsid w:val="003F4715"/>
    <w:rsid w:val="003F556C"/>
    <w:rsid w:val="003F5BB9"/>
    <w:rsid w:val="003F6A0C"/>
    <w:rsid w:val="00401959"/>
    <w:rsid w:val="00412244"/>
    <w:rsid w:val="0041487D"/>
    <w:rsid w:val="00425D75"/>
    <w:rsid w:val="004442A2"/>
    <w:rsid w:val="00472CE5"/>
    <w:rsid w:val="004802E3"/>
    <w:rsid w:val="00480910"/>
    <w:rsid w:val="00487614"/>
    <w:rsid w:val="00494021"/>
    <w:rsid w:val="004B5F50"/>
    <w:rsid w:val="004D73B3"/>
    <w:rsid w:val="004D7E09"/>
    <w:rsid w:val="004F03AB"/>
    <w:rsid w:val="004F61CD"/>
    <w:rsid w:val="00504276"/>
    <w:rsid w:val="0051360A"/>
    <w:rsid w:val="005161BD"/>
    <w:rsid w:val="0052522D"/>
    <w:rsid w:val="005370EF"/>
    <w:rsid w:val="00550C49"/>
    <w:rsid w:val="0056607A"/>
    <w:rsid w:val="0057403F"/>
    <w:rsid w:val="0058149A"/>
    <w:rsid w:val="00584097"/>
    <w:rsid w:val="0058436F"/>
    <w:rsid w:val="005914E1"/>
    <w:rsid w:val="005E1256"/>
    <w:rsid w:val="005E48EB"/>
    <w:rsid w:val="005F7F8F"/>
    <w:rsid w:val="00686676"/>
    <w:rsid w:val="006E343C"/>
    <w:rsid w:val="006F43DF"/>
    <w:rsid w:val="00706066"/>
    <w:rsid w:val="00720FF1"/>
    <w:rsid w:val="00734464"/>
    <w:rsid w:val="007422A6"/>
    <w:rsid w:val="00751F11"/>
    <w:rsid w:val="00764732"/>
    <w:rsid w:val="00783C5A"/>
    <w:rsid w:val="00791DB6"/>
    <w:rsid w:val="007A73D0"/>
    <w:rsid w:val="007E5E97"/>
    <w:rsid w:val="007F66C8"/>
    <w:rsid w:val="00812051"/>
    <w:rsid w:val="00821428"/>
    <w:rsid w:val="008355AB"/>
    <w:rsid w:val="00851AE6"/>
    <w:rsid w:val="008634D2"/>
    <w:rsid w:val="008A6F6B"/>
    <w:rsid w:val="008C5C16"/>
    <w:rsid w:val="008D1CAA"/>
    <w:rsid w:val="008E1B4D"/>
    <w:rsid w:val="008F0CE6"/>
    <w:rsid w:val="009176F9"/>
    <w:rsid w:val="00956DFA"/>
    <w:rsid w:val="00957071"/>
    <w:rsid w:val="009756E6"/>
    <w:rsid w:val="00983BC0"/>
    <w:rsid w:val="0098594B"/>
    <w:rsid w:val="00990DEA"/>
    <w:rsid w:val="009A4073"/>
    <w:rsid w:val="009B6834"/>
    <w:rsid w:val="009C18D3"/>
    <w:rsid w:val="009C6C32"/>
    <w:rsid w:val="009D752A"/>
    <w:rsid w:val="009E040D"/>
    <w:rsid w:val="009E4A8D"/>
    <w:rsid w:val="009E5D4E"/>
    <w:rsid w:val="00A07A37"/>
    <w:rsid w:val="00A07F65"/>
    <w:rsid w:val="00A24D33"/>
    <w:rsid w:val="00A31E1B"/>
    <w:rsid w:val="00A40E03"/>
    <w:rsid w:val="00A47407"/>
    <w:rsid w:val="00A87974"/>
    <w:rsid w:val="00AF2737"/>
    <w:rsid w:val="00B077AC"/>
    <w:rsid w:val="00B16BAA"/>
    <w:rsid w:val="00B24A17"/>
    <w:rsid w:val="00B35051"/>
    <w:rsid w:val="00B5381E"/>
    <w:rsid w:val="00B652E6"/>
    <w:rsid w:val="00B7544F"/>
    <w:rsid w:val="00B76CF7"/>
    <w:rsid w:val="00B82E07"/>
    <w:rsid w:val="00B911FF"/>
    <w:rsid w:val="00B94369"/>
    <w:rsid w:val="00BA053F"/>
    <w:rsid w:val="00BA3D2B"/>
    <w:rsid w:val="00BB4058"/>
    <w:rsid w:val="00BB7841"/>
    <w:rsid w:val="00BC52F2"/>
    <w:rsid w:val="00BD44CC"/>
    <w:rsid w:val="00BD4FE2"/>
    <w:rsid w:val="00BD735E"/>
    <w:rsid w:val="00BE64D8"/>
    <w:rsid w:val="00BF4E11"/>
    <w:rsid w:val="00C04129"/>
    <w:rsid w:val="00C24441"/>
    <w:rsid w:val="00C422AB"/>
    <w:rsid w:val="00C62579"/>
    <w:rsid w:val="00C96677"/>
    <w:rsid w:val="00CA4082"/>
    <w:rsid w:val="00CA4CC9"/>
    <w:rsid w:val="00CA62E3"/>
    <w:rsid w:val="00CC3498"/>
    <w:rsid w:val="00CE3C25"/>
    <w:rsid w:val="00CE4E4D"/>
    <w:rsid w:val="00CF69E6"/>
    <w:rsid w:val="00D051BE"/>
    <w:rsid w:val="00D15B52"/>
    <w:rsid w:val="00D5366F"/>
    <w:rsid w:val="00D600CD"/>
    <w:rsid w:val="00D80AFE"/>
    <w:rsid w:val="00D84325"/>
    <w:rsid w:val="00D84CE9"/>
    <w:rsid w:val="00DB5427"/>
    <w:rsid w:val="00DB616D"/>
    <w:rsid w:val="00DD44E3"/>
    <w:rsid w:val="00E00AB2"/>
    <w:rsid w:val="00E24768"/>
    <w:rsid w:val="00E27D5E"/>
    <w:rsid w:val="00E50234"/>
    <w:rsid w:val="00E809E4"/>
    <w:rsid w:val="00EB048A"/>
    <w:rsid w:val="00ED2FDA"/>
    <w:rsid w:val="00EE3178"/>
    <w:rsid w:val="00EE50A0"/>
    <w:rsid w:val="00EF13CE"/>
    <w:rsid w:val="00F01DF4"/>
    <w:rsid w:val="00F04F9A"/>
    <w:rsid w:val="00F3196D"/>
    <w:rsid w:val="00F414A4"/>
    <w:rsid w:val="00F8277A"/>
    <w:rsid w:val="00F83C18"/>
    <w:rsid w:val="00F94936"/>
    <w:rsid w:val="00FB4776"/>
    <w:rsid w:val="00FD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320FBF"/>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paragraph" w:styleId="Heading3">
    <w:name w:val="heading 3"/>
    <w:basedOn w:val="Normal"/>
    <w:next w:val="Normal"/>
    <w:link w:val="Heading3Char"/>
    <w:uiPriority w:val="9"/>
    <w:semiHidden/>
    <w:unhideWhenUsed/>
    <w:qFormat/>
    <w:rsid w:val="004D7E09"/>
    <w:pPr>
      <w:keepNext/>
      <w:keepLines/>
      <w:spacing w:before="40" w:after="0"/>
      <w:outlineLvl w:val="2"/>
    </w:pPr>
    <w:rPr>
      <w:rFonts w:asciiTheme="majorHAnsi" w:eastAsiaTheme="majorEastAsia" w:hAnsiTheme="majorHAnsi" w:cstheme="majorBidi"/>
      <w:color w:val="6C540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1B4D"/>
    <w:pPr>
      <w:spacing w:after="0" w:line="240" w:lineRule="auto"/>
    </w:pPr>
    <w:rPr>
      <w:rFonts w:ascii="Arial" w:hAnsi="Arial"/>
      <w:color w:val="3F4548" w:themeColor="text1"/>
      <w:sz w:val="20"/>
    </w:rPr>
  </w:style>
  <w:style w:type="paragraph" w:styleId="FootnoteText">
    <w:name w:val="footnote text"/>
    <w:basedOn w:val="Normal"/>
    <w:link w:val="FootnoteTextChar"/>
    <w:uiPriority w:val="99"/>
    <w:semiHidden/>
    <w:unhideWhenUsed/>
    <w:rsid w:val="009176F9"/>
    <w:pPr>
      <w:spacing w:after="0" w:line="240" w:lineRule="auto"/>
    </w:pPr>
    <w:rPr>
      <w:szCs w:val="20"/>
    </w:rPr>
  </w:style>
  <w:style w:type="character" w:customStyle="1" w:styleId="FootnoteTextChar">
    <w:name w:val="Footnote Text Char"/>
    <w:basedOn w:val="DefaultParagraphFont"/>
    <w:link w:val="FootnoteText"/>
    <w:uiPriority w:val="99"/>
    <w:semiHidden/>
    <w:rsid w:val="009176F9"/>
    <w:rPr>
      <w:rFonts w:ascii="Arial" w:hAnsi="Arial"/>
      <w:color w:val="3F4548" w:themeColor="text1"/>
      <w:sz w:val="20"/>
      <w:szCs w:val="20"/>
    </w:rPr>
  </w:style>
  <w:style w:type="character" w:styleId="FootnoteReference">
    <w:name w:val="footnote reference"/>
    <w:basedOn w:val="DefaultParagraphFont"/>
    <w:uiPriority w:val="99"/>
    <w:semiHidden/>
    <w:unhideWhenUsed/>
    <w:rsid w:val="009176F9"/>
    <w:rPr>
      <w:vertAlign w:val="superscript"/>
    </w:rPr>
  </w:style>
  <w:style w:type="paragraph" w:styleId="NormalWeb">
    <w:name w:val="Normal (Web)"/>
    <w:basedOn w:val="Normal"/>
    <w:uiPriority w:val="99"/>
    <w:semiHidden/>
    <w:unhideWhenUsed/>
    <w:rsid w:val="002F364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7407"/>
    <w:rPr>
      <w:sz w:val="16"/>
      <w:szCs w:val="16"/>
    </w:rPr>
  </w:style>
  <w:style w:type="paragraph" w:styleId="CommentText">
    <w:name w:val="annotation text"/>
    <w:basedOn w:val="Normal"/>
    <w:link w:val="CommentTextChar"/>
    <w:uiPriority w:val="99"/>
    <w:semiHidden/>
    <w:unhideWhenUsed/>
    <w:rsid w:val="00A47407"/>
    <w:pPr>
      <w:spacing w:line="240" w:lineRule="auto"/>
    </w:pPr>
    <w:rPr>
      <w:szCs w:val="20"/>
    </w:rPr>
  </w:style>
  <w:style w:type="character" w:customStyle="1" w:styleId="CommentTextChar">
    <w:name w:val="Comment Text Char"/>
    <w:basedOn w:val="DefaultParagraphFont"/>
    <w:link w:val="CommentText"/>
    <w:uiPriority w:val="99"/>
    <w:semiHidden/>
    <w:rsid w:val="00A47407"/>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A47407"/>
    <w:rPr>
      <w:b/>
      <w:bCs/>
    </w:rPr>
  </w:style>
  <w:style w:type="character" w:customStyle="1" w:styleId="CommentSubjectChar">
    <w:name w:val="Comment Subject Char"/>
    <w:basedOn w:val="CommentTextChar"/>
    <w:link w:val="CommentSubject"/>
    <w:uiPriority w:val="99"/>
    <w:semiHidden/>
    <w:rsid w:val="00A47407"/>
    <w:rPr>
      <w:rFonts w:ascii="Arial" w:hAnsi="Arial"/>
      <w:b/>
      <w:bCs/>
      <w:color w:val="3F4548" w:themeColor="text1"/>
      <w:sz w:val="20"/>
      <w:szCs w:val="20"/>
    </w:rPr>
  </w:style>
  <w:style w:type="character" w:styleId="FollowedHyperlink">
    <w:name w:val="FollowedHyperlink"/>
    <w:basedOn w:val="DefaultParagraphFont"/>
    <w:uiPriority w:val="99"/>
    <w:semiHidden/>
    <w:unhideWhenUsed/>
    <w:rsid w:val="00783C5A"/>
    <w:rPr>
      <w:color w:val="3F4548" w:themeColor="followedHyperlink"/>
      <w:u w:val="single"/>
    </w:rPr>
  </w:style>
  <w:style w:type="character" w:customStyle="1" w:styleId="Heading3Char">
    <w:name w:val="Heading 3 Char"/>
    <w:basedOn w:val="DefaultParagraphFont"/>
    <w:link w:val="Heading3"/>
    <w:uiPriority w:val="9"/>
    <w:semiHidden/>
    <w:rsid w:val="004D7E09"/>
    <w:rPr>
      <w:rFonts w:asciiTheme="majorHAnsi" w:eastAsiaTheme="majorEastAsia" w:hAnsiTheme="majorHAnsi" w:cstheme="majorBidi"/>
      <w:color w:val="6C540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485978263">
      <w:bodyDiv w:val="1"/>
      <w:marLeft w:val="0"/>
      <w:marRight w:val="0"/>
      <w:marTop w:val="0"/>
      <w:marBottom w:val="0"/>
      <w:divBdr>
        <w:top w:val="none" w:sz="0" w:space="0" w:color="auto"/>
        <w:left w:val="none" w:sz="0" w:space="0" w:color="auto"/>
        <w:bottom w:val="none" w:sz="0" w:space="0" w:color="auto"/>
        <w:right w:val="none" w:sz="0" w:space="0" w:color="auto"/>
      </w:divBdr>
    </w:div>
    <w:div w:id="556163137">
      <w:bodyDiv w:val="1"/>
      <w:marLeft w:val="0"/>
      <w:marRight w:val="0"/>
      <w:marTop w:val="0"/>
      <w:marBottom w:val="0"/>
      <w:divBdr>
        <w:top w:val="none" w:sz="0" w:space="0" w:color="auto"/>
        <w:left w:val="none" w:sz="0" w:space="0" w:color="auto"/>
        <w:bottom w:val="none" w:sz="0" w:space="0" w:color="auto"/>
        <w:right w:val="none" w:sz="0" w:space="0" w:color="auto"/>
      </w:divBdr>
    </w:div>
    <w:div w:id="569537584">
      <w:bodyDiv w:val="1"/>
      <w:marLeft w:val="0"/>
      <w:marRight w:val="0"/>
      <w:marTop w:val="0"/>
      <w:marBottom w:val="0"/>
      <w:divBdr>
        <w:top w:val="none" w:sz="0" w:space="0" w:color="auto"/>
        <w:left w:val="none" w:sz="0" w:space="0" w:color="auto"/>
        <w:bottom w:val="none" w:sz="0" w:space="0" w:color="auto"/>
        <w:right w:val="none" w:sz="0" w:space="0" w:color="auto"/>
      </w:divBdr>
    </w:div>
    <w:div w:id="779765367">
      <w:bodyDiv w:val="1"/>
      <w:marLeft w:val="0"/>
      <w:marRight w:val="0"/>
      <w:marTop w:val="0"/>
      <w:marBottom w:val="0"/>
      <w:divBdr>
        <w:top w:val="none" w:sz="0" w:space="0" w:color="auto"/>
        <w:left w:val="none" w:sz="0" w:space="0" w:color="auto"/>
        <w:bottom w:val="none" w:sz="0" w:space="0" w:color="auto"/>
        <w:right w:val="none" w:sz="0" w:space="0" w:color="auto"/>
      </w:divBdr>
    </w:div>
    <w:div w:id="943422517">
      <w:bodyDiv w:val="1"/>
      <w:marLeft w:val="0"/>
      <w:marRight w:val="0"/>
      <w:marTop w:val="0"/>
      <w:marBottom w:val="0"/>
      <w:divBdr>
        <w:top w:val="none" w:sz="0" w:space="0" w:color="auto"/>
        <w:left w:val="none" w:sz="0" w:space="0" w:color="auto"/>
        <w:bottom w:val="none" w:sz="0" w:space="0" w:color="auto"/>
        <w:right w:val="none" w:sz="0" w:space="0" w:color="auto"/>
      </w:divBdr>
    </w:div>
    <w:div w:id="1084257706">
      <w:bodyDiv w:val="1"/>
      <w:marLeft w:val="0"/>
      <w:marRight w:val="0"/>
      <w:marTop w:val="0"/>
      <w:marBottom w:val="0"/>
      <w:divBdr>
        <w:top w:val="none" w:sz="0" w:space="0" w:color="auto"/>
        <w:left w:val="none" w:sz="0" w:space="0" w:color="auto"/>
        <w:bottom w:val="none" w:sz="0" w:space="0" w:color="auto"/>
        <w:right w:val="none" w:sz="0" w:space="0" w:color="auto"/>
      </w:divBdr>
    </w:div>
    <w:div w:id="1117722033">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565604434">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 w:id="1694576656">
      <w:bodyDiv w:val="1"/>
      <w:marLeft w:val="0"/>
      <w:marRight w:val="0"/>
      <w:marTop w:val="0"/>
      <w:marBottom w:val="0"/>
      <w:divBdr>
        <w:top w:val="none" w:sz="0" w:space="0" w:color="auto"/>
        <w:left w:val="none" w:sz="0" w:space="0" w:color="auto"/>
        <w:bottom w:val="none" w:sz="0" w:space="0" w:color="auto"/>
        <w:right w:val="none" w:sz="0" w:space="0" w:color="auto"/>
      </w:divBdr>
    </w:div>
    <w:div w:id="1768040868">
      <w:bodyDiv w:val="1"/>
      <w:marLeft w:val="0"/>
      <w:marRight w:val="0"/>
      <w:marTop w:val="0"/>
      <w:marBottom w:val="0"/>
      <w:divBdr>
        <w:top w:val="none" w:sz="0" w:space="0" w:color="auto"/>
        <w:left w:val="none" w:sz="0" w:space="0" w:color="auto"/>
        <w:bottom w:val="none" w:sz="0" w:space="0" w:color="auto"/>
        <w:right w:val="none" w:sz="0" w:space="0" w:color="auto"/>
      </w:divBdr>
    </w:div>
    <w:div w:id="1850680872">
      <w:bodyDiv w:val="1"/>
      <w:marLeft w:val="0"/>
      <w:marRight w:val="0"/>
      <w:marTop w:val="0"/>
      <w:marBottom w:val="0"/>
      <w:divBdr>
        <w:top w:val="none" w:sz="0" w:space="0" w:color="auto"/>
        <w:left w:val="none" w:sz="0" w:space="0" w:color="auto"/>
        <w:bottom w:val="none" w:sz="0" w:space="0" w:color="auto"/>
        <w:right w:val="none" w:sz="0" w:space="0" w:color="auto"/>
      </w:divBdr>
    </w:div>
    <w:div w:id="1932658931">
      <w:bodyDiv w:val="1"/>
      <w:marLeft w:val="0"/>
      <w:marRight w:val="0"/>
      <w:marTop w:val="0"/>
      <w:marBottom w:val="0"/>
      <w:divBdr>
        <w:top w:val="none" w:sz="0" w:space="0" w:color="auto"/>
        <w:left w:val="none" w:sz="0" w:space="0" w:color="auto"/>
        <w:bottom w:val="none" w:sz="0" w:space="0" w:color="auto"/>
        <w:right w:val="none" w:sz="0" w:space="0" w:color="auto"/>
      </w:divBdr>
    </w:div>
    <w:div w:id="20994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stronger-nudge-to-pensions-guidance/stronger-nudge-to-pensions-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uaries.org.uk/system/files/field/document/5790_Pensions%20Freedoms%20survey%20report%28No%20Bleed%2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5857BABB41F43BFD453595E8BF29B" ma:contentTypeVersion="14" ma:contentTypeDescription="Create a new document." ma:contentTypeScope="" ma:versionID="ee6f931dd5d25dd196969af090daa183">
  <xsd:schema xmlns:xsd="http://www.w3.org/2001/XMLSchema" xmlns:xs="http://www.w3.org/2001/XMLSchema" xmlns:p="http://schemas.microsoft.com/office/2006/metadata/properties" xmlns:ns3="8ce46e1c-e67a-4919-8f22-e62e5743ae36" xmlns:ns4="e9d605bc-fe42-4470-a8ac-47f08384d032" targetNamespace="http://schemas.microsoft.com/office/2006/metadata/properties" ma:root="true" ma:fieldsID="2d545e22ba2ae524bd83feb1bbc57d6b" ns3:_="" ns4:_="">
    <xsd:import namespace="8ce46e1c-e67a-4919-8f22-e62e5743ae36"/>
    <xsd:import namespace="e9d605bc-fe42-4470-a8ac-47f08384d0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6e1c-e67a-4919-8f22-e62e5743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605bc-fe42-4470-a8ac-47f08384d0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A8D587-3BDD-4145-8023-4D2FCA24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6e1c-e67a-4919-8f22-e62e5743ae36"/>
    <ds:schemaRef ds:uri="e9d605bc-fe42-4470-a8ac-47f08384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3.xml><?xml version="1.0" encoding="utf-8"?>
<ds:datastoreItem xmlns:ds="http://schemas.openxmlformats.org/officeDocument/2006/customXml" ds:itemID="{92FCB775-4FCF-494F-B3CD-1E6815857B5E}">
  <ds:schemaRefs>
    <ds:schemaRef ds:uri="http://schemas.openxmlformats.org/officeDocument/2006/bibliography"/>
  </ds:schemaRefs>
</ds:datastoreItem>
</file>

<file path=customXml/itemProps4.xml><?xml version="1.0" encoding="utf-8"?>
<ds:datastoreItem xmlns:ds="http://schemas.openxmlformats.org/officeDocument/2006/customXml" ds:itemID="{74EC364B-592E-4B1A-87EE-58196E0B967D}">
  <ds:schemaRefs>
    <ds:schemaRef ds:uri="http://schemas.openxmlformats.org/package/2006/metadata/core-properties"/>
    <ds:schemaRef ds:uri="e9d605bc-fe42-4470-a8ac-47f08384d032"/>
    <ds:schemaRef ds:uri="http://schemas.microsoft.com/office/2006/documentManagement/types"/>
    <ds:schemaRef ds:uri="8ce46e1c-e67a-4919-8f22-e62e5743ae36"/>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Caolan Ward</dc:creator>
  <cp:lastModifiedBy>Matthew Humphreys</cp:lastModifiedBy>
  <cp:revision>2</cp:revision>
  <cp:lastPrinted>2012-12-17T18:03:00Z</cp:lastPrinted>
  <dcterms:created xsi:type="dcterms:W3CDTF">2022-05-31T14:41:00Z</dcterms:created>
  <dcterms:modified xsi:type="dcterms:W3CDTF">2022-05-31T14:41:00Z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0x010100D115857BABB41F43BFD453595E8BF29B</vt:lpwstr>
  </property>
  <property fmtid="{D5CDD505-2E9C-101B-9397-08002B2CF9AE}" pid="3" name="MSIP_Label_38f1469a-2c2a-4aee-b92b-090d4c5468ff_Enabled">
    <vt:lpwstr>true</vt:lpwstr>
  </property>
  <property fmtid="{D5CDD505-2E9C-101B-9397-08002B2CF9AE}" pid="4" name="MSIP_Label_38f1469a-2c2a-4aee-b92b-090d4c5468ff_SetDate">
    <vt:lpwstr>2022-01-27T09:50:05Z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7b40e636-265d-46f5-9574-30a7926ef6aa</vt:lpwstr>
  </property>
  <property fmtid="{D5CDD505-2E9C-101B-9397-08002B2CF9AE}" pid="9" name="MSIP_Label_38f1469a-2c2a-4aee-b92b-090d4c5468ff_ContentBits">
    <vt:lpwstr>0</vt:lpwstr>
  </property>
  <property fmtid="{D5CDD505-2E9C-101B-9397-08002B2CF9AE}" pid="10" name="_NewReviewCycle">
    <vt:lpwstr/>
  </property>
  <property fmtid="{D5CDD505-2E9C-101B-9397-08002B2CF9AE}" pid="11" name="MSIP_Label_d347b247-e90e-43a3-9d7b-004f14ae6873_Enabled">
    <vt:lpwstr>true</vt:lpwstr>
  </property>
  <property fmtid="{D5CDD505-2E9C-101B-9397-08002B2CF9AE}" pid="12" name="MSIP_Label_d347b247-e90e-43a3-9d7b-004f14ae6873_SetDate">
    <vt:lpwstr>2022-01-28T10:34:39Z</vt:lpwstr>
  </property>
  <property fmtid="{D5CDD505-2E9C-101B-9397-08002B2CF9AE}" pid="13" name="MSIP_Label_d347b247-e90e-43a3-9d7b-004f14ae6873_Method">
    <vt:lpwstr>Standard</vt:lpwstr>
  </property>
  <property fmtid="{D5CDD505-2E9C-101B-9397-08002B2CF9AE}" pid="14" name="MSIP_Label_d347b247-e90e-43a3-9d7b-004f14ae6873_Name">
    <vt:lpwstr>d347b247-e90e-43a3-9d7b-004f14ae6873</vt:lpwstr>
  </property>
  <property fmtid="{D5CDD505-2E9C-101B-9397-08002B2CF9AE}" pid="15" name="MSIP_Label_d347b247-e90e-43a3-9d7b-004f14ae6873_SiteId">
    <vt:lpwstr>76e3921f-489b-4b7e-9547-9ea297add9b5</vt:lpwstr>
  </property>
  <property fmtid="{D5CDD505-2E9C-101B-9397-08002B2CF9AE}" pid="16" name="MSIP_Label_d347b247-e90e-43a3-9d7b-004f14ae6873_ActionId">
    <vt:lpwstr>378b96e7-18a4-44bb-a4ac-2ee4a57517a5</vt:lpwstr>
  </property>
  <property fmtid="{D5CDD505-2E9C-101B-9397-08002B2CF9AE}" pid="17" name="MSIP_Label_d347b247-e90e-43a3-9d7b-004f14ae6873_ContentBits">
    <vt:lpwstr>0</vt:lpwstr>
  </property>
</Properties>
</file>