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457B" w14:textId="2CB95315" w:rsidR="00D84325" w:rsidRPr="009C6C32" w:rsidRDefault="00D84325" w:rsidP="009C6C32">
      <w:pPr>
        <w:pStyle w:val="Heading2"/>
      </w:pPr>
    </w:p>
    <w:p w14:paraId="750355D9" w14:textId="77777777" w:rsidR="00E809E4" w:rsidRPr="004802E3" w:rsidRDefault="00E809E4" w:rsidP="004802E3">
      <w:pPr>
        <w:spacing w:after="0" w:line="250" w:lineRule="exact"/>
        <w:rPr>
          <w:rFonts w:cs="Arial"/>
          <w:color w:val="484E52" w:themeColor="text1" w:themeTint="F2"/>
          <w:szCs w:val="20"/>
        </w:rPr>
      </w:pPr>
    </w:p>
    <w:p w14:paraId="1C0161B1" w14:textId="77777777" w:rsidR="009D752A" w:rsidRDefault="009D752A" w:rsidP="004802E3">
      <w:pPr>
        <w:spacing w:after="0" w:line="250" w:lineRule="exact"/>
        <w:rPr>
          <w:rFonts w:cs="Arial"/>
          <w:color w:val="484E52" w:themeColor="text1" w:themeTint="F2"/>
          <w:szCs w:val="20"/>
        </w:rPr>
      </w:pPr>
    </w:p>
    <w:p w14:paraId="7C0D8084" w14:textId="77777777" w:rsidR="009D752A" w:rsidRDefault="009D752A" w:rsidP="004802E3">
      <w:pPr>
        <w:spacing w:after="0" w:line="250" w:lineRule="exact"/>
        <w:rPr>
          <w:rFonts w:cs="Arial"/>
          <w:color w:val="484E52" w:themeColor="text1" w:themeTint="F2"/>
          <w:szCs w:val="20"/>
        </w:rPr>
      </w:pPr>
    </w:p>
    <w:p w14:paraId="2D083127" w14:textId="77777777" w:rsidR="009D752A" w:rsidRDefault="009D752A" w:rsidP="004802E3">
      <w:pPr>
        <w:spacing w:after="0" w:line="250" w:lineRule="exact"/>
        <w:rPr>
          <w:rFonts w:cs="Arial"/>
          <w:color w:val="484E52" w:themeColor="text1" w:themeTint="F2"/>
          <w:szCs w:val="20"/>
        </w:rPr>
      </w:pPr>
    </w:p>
    <w:p w14:paraId="2E527FE8" w14:textId="77777777" w:rsidR="009D752A" w:rsidRDefault="009D752A" w:rsidP="004802E3">
      <w:pPr>
        <w:spacing w:after="0" w:line="250" w:lineRule="exact"/>
        <w:rPr>
          <w:rFonts w:cs="Arial"/>
          <w:color w:val="484E52" w:themeColor="text1" w:themeTint="F2"/>
          <w:szCs w:val="20"/>
        </w:rPr>
      </w:pPr>
    </w:p>
    <w:p w14:paraId="2E01BFD9" w14:textId="77777777" w:rsidR="009D752A" w:rsidRDefault="009D752A" w:rsidP="004802E3">
      <w:pPr>
        <w:spacing w:after="0" w:line="250" w:lineRule="exact"/>
        <w:rPr>
          <w:rFonts w:cs="Arial"/>
          <w:color w:val="484E52" w:themeColor="text1" w:themeTint="F2"/>
          <w:szCs w:val="20"/>
        </w:rPr>
      </w:pPr>
    </w:p>
    <w:p w14:paraId="1429B623" w14:textId="77777777" w:rsidR="001D1BD8" w:rsidRDefault="001D1BD8" w:rsidP="00B24A17">
      <w:pPr>
        <w:spacing w:after="0" w:line="250" w:lineRule="exact"/>
        <w:rPr>
          <w:rFonts w:cs="Arial"/>
          <w:color w:val="484E52" w:themeColor="text1" w:themeTint="F2"/>
          <w:szCs w:val="20"/>
        </w:rPr>
      </w:pPr>
    </w:p>
    <w:p w14:paraId="0AB1D44C" w14:textId="148DDE06" w:rsidR="001B6CA2" w:rsidRPr="001B6CA2" w:rsidRDefault="004802E3" w:rsidP="001B6CA2">
      <w:pPr>
        <w:spacing w:after="0" w:line="250" w:lineRule="exact"/>
        <w:rPr>
          <w:rFonts w:cs="Arial"/>
          <w:color w:val="484E52" w:themeColor="text1" w:themeTint="F2"/>
          <w:szCs w:val="20"/>
        </w:rPr>
      </w:pPr>
      <w:r>
        <w:rPr>
          <w:rFonts w:cs="Arial"/>
          <w:color w:val="484E52" w:themeColor="text1" w:themeTint="F2"/>
          <w:szCs w:val="20"/>
        </w:rPr>
        <w:t>T</w:t>
      </w:r>
      <w:r w:rsidRPr="004802E3">
        <w:rPr>
          <w:rFonts w:cs="Arial"/>
          <w:color w:val="484E52" w:themeColor="text1" w:themeTint="F2"/>
          <w:szCs w:val="20"/>
        </w:rPr>
        <w:t>he Institute and Faculty of Actuaries (</w:t>
      </w:r>
      <w:proofErr w:type="spellStart"/>
      <w:r w:rsidRPr="004802E3">
        <w:rPr>
          <w:rFonts w:cs="Arial"/>
          <w:color w:val="484E52" w:themeColor="text1" w:themeTint="F2"/>
          <w:szCs w:val="20"/>
        </w:rPr>
        <w:t>IFoA</w:t>
      </w:r>
      <w:proofErr w:type="spellEnd"/>
      <w:r w:rsidRPr="004802E3">
        <w:rPr>
          <w:rFonts w:cs="Arial"/>
          <w:color w:val="484E52" w:themeColor="text1" w:themeTint="F2"/>
          <w:szCs w:val="20"/>
        </w:rPr>
        <w:t>)</w:t>
      </w:r>
      <w:r w:rsidR="003A08EE">
        <w:rPr>
          <w:rFonts w:cs="Arial"/>
          <w:color w:val="484E52" w:themeColor="text1" w:themeTint="F2"/>
          <w:szCs w:val="20"/>
        </w:rPr>
        <w:t xml:space="preserve"> </w:t>
      </w:r>
      <w:r w:rsidRPr="004802E3">
        <w:rPr>
          <w:rFonts w:cs="Arial"/>
          <w:color w:val="484E52" w:themeColor="text1" w:themeTint="F2"/>
          <w:szCs w:val="20"/>
        </w:rPr>
        <w:t>welcomes the opportunity to respond to</w:t>
      </w:r>
      <w:r w:rsidR="003A08EE">
        <w:rPr>
          <w:rFonts w:cs="Arial"/>
          <w:color w:val="484E52" w:themeColor="text1" w:themeTint="F2"/>
          <w:szCs w:val="20"/>
        </w:rPr>
        <w:t xml:space="preserve"> </w:t>
      </w:r>
      <w:r w:rsidR="00625633">
        <w:rPr>
          <w:rFonts w:cs="Arial"/>
          <w:color w:val="484E52" w:themeColor="text1" w:themeTint="F2"/>
          <w:szCs w:val="20"/>
        </w:rPr>
        <w:t xml:space="preserve">the </w:t>
      </w:r>
      <w:r w:rsidR="003A08EE">
        <w:rPr>
          <w:rFonts w:cs="Arial"/>
          <w:color w:val="484E52" w:themeColor="text1" w:themeTint="F2"/>
          <w:szCs w:val="20"/>
        </w:rPr>
        <w:t>Pensio</w:t>
      </w:r>
      <w:r w:rsidR="005B088F">
        <w:rPr>
          <w:rFonts w:cs="Arial"/>
          <w:color w:val="484E52" w:themeColor="text1" w:themeTint="F2"/>
          <w:szCs w:val="20"/>
        </w:rPr>
        <w:t>ns Regulator</w:t>
      </w:r>
      <w:r w:rsidR="001B6CA2">
        <w:rPr>
          <w:rFonts w:cs="Arial"/>
          <w:color w:val="484E52" w:themeColor="text1" w:themeTint="F2"/>
          <w:szCs w:val="20"/>
        </w:rPr>
        <w:t>’s</w:t>
      </w:r>
      <w:r w:rsidR="003A08EE">
        <w:rPr>
          <w:rFonts w:cs="Arial"/>
          <w:color w:val="484E52" w:themeColor="text1" w:themeTint="F2"/>
          <w:szCs w:val="20"/>
        </w:rPr>
        <w:t xml:space="preserve"> </w:t>
      </w:r>
      <w:r w:rsidR="001B6CA2">
        <w:rPr>
          <w:rFonts w:cs="Arial"/>
          <w:color w:val="484E52" w:themeColor="text1" w:themeTint="F2"/>
          <w:szCs w:val="20"/>
        </w:rPr>
        <w:t xml:space="preserve">consultation </w:t>
      </w:r>
      <w:r w:rsidR="00625633">
        <w:rPr>
          <w:rFonts w:cs="Arial"/>
          <w:color w:val="484E52" w:themeColor="text1" w:themeTint="F2"/>
          <w:szCs w:val="20"/>
        </w:rPr>
        <w:t>on</w:t>
      </w:r>
      <w:r w:rsidR="001B6CA2">
        <w:rPr>
          <w:rFonts w:cs="Arial"/>
          <w:color w:val="484E52" w:themeColor="text1" w:themeTint="F2"/>
          <w:szCs w:val="20"/>
        </w:rPr>
        <w:t xml:space="preserve"> “</w:t>
      </w:r>
      <w:r w:rsidR="001B6CA2" w:rsidRPr="001B6CA2">
        <w:rPr>
          <w:rFonts w:cs="Arial"/>
          <w:color w:val="484E52" w:themeColor="text1" w:themeTint="F2"/>
          <w:szCs w:val="20"/>
        </w:rPr>
        <w:t>A Code of Practice for authorisation and</w:t>
      </w:r>
      <w:r w:rsidR="001B6CA2">
        <w:rPr>
          <w:rFonts w:cs="Arial"/>
          <w:color w:val="484E52" w:themeColor="text1" w:themeTint="F2"/>
          <w:szCs w:val="20"/>
        </w:rPr>
        <w:t xml:space="preserve"> </w:t>
      </w:r>
      <w:r w:rsidR="001B6CA2" w:rsidRPr="001B6CA2">
        <w:rPr>
          <w:rFonts w:cs="Arial"/>
          <w:color w:val="484E52" w:themeColor="text1" w:themeTint="F2"/>
          <w:szCs w:val="20"/>
        </w:rPr>
        <w:t xml:space="preserve">supervision of collective defined </w:t>
      </w:r>
    </w:p>
    <w:p w14:paraId="1F3D0913" w14:textId="02DFC2CD" w:rsidR="00BB7841" w:rsidRDefault="001B6CA2" w:rsidP="001B6CA2">
      <w:pPr>
        <w:spacing w:after="0" w:line="250" w:lineRule="exact"/>
        <w:rPr>
          <w:rFonts w:cs="Arial"/>
          <w:color w:val="484E52" w:themeColor="text1" w:themeTint="F2"/>
          <w:szCs w:val="20"/>
        </w:rPr>
      </w:pPr>
      <w:r w:rsidRPr="001B6CA2">
        <w:rPr>
          <w:rFonts w:cs="Arial"/>
          <w:color w:val="484E52" w:themeColor="text1" w:themeTint="F2"/>
          <w:szCs w:val="20"/>
        </w:rPr>
        <w:t>contribution schemes</w:t>
      </w:r>
      <w:r>
        <w:rPr>
          <w:rFonts w:cs="Arial"/>
          <w:color w:val="484E52" w:themeColor="text1" w:themeTint="F2"/>
          <w:szCs w:val="20"/>
        </w:rPr>
        <w:t>”</w:t>
      </w:r>
      <w:r w:rsidR="003A08EE">
        <w:rPr>
          <w:rFonts w:cs="Arial"/>
          <w:color w:val="484E52" w:themeColor="text1" w:themeTint="F2"/>
          <w:szCs w:val="20"/>
        </w:rPr>
        <w:t>.</w:t>
      </w:r>
    </w:p>
    <w:p w14:paraId="5D40D371" w14:textId="77777777" w:rsidR="00C53DE4" w:rsidRDefault="00C53DE4" w:rsidP="001B6CA2">
      <w:pPr>
        <w:spacing w:after="0" w:line="250" w:lineRule="exact"/>
        <w:rPr>
          <w:rFonts w:cs="Arial"/>
          <w:color w:val="484E52" w:themeColor="text1" w:themeTint="F2"/>
          <w:szCs w:val="20"/>
        </w:rPr>
      </w:pPr>
    </w:p>
    <w:p w14:paraId="4048F6DC" w14:textId="412CCFD8" w:rsidR="00C53DE4" w:rsidRDefault="00167854" w:rsidP="00C53DE4">
      <w:pPr>
        <w:spacing w:after="0"/>
        <w:rPr>
          <w:rFonts w:cs="Arial"/>
          <w:color w:val="484E52" w:themeColor="text1" w:themeTint="F2"/>
          <w:szCs w:val="20"/>
        </w:rPr>
      </w:pPr>
      <w:r>
        <w:rPr>
          <w:rFonts w:cs="Arial"/>
          <w:color w:val="484E52" w:themeColor="text1" w:themeTint="F2"/>
          <w:szCs w:val="20"/>
        </w:rPr>
        <w:t>This response has been draft</w:t>
      </w:r>
      <w:r w:rsidR="006652FB">
        <w:rPr>
          <w:rFonts w:cs="Arial"/>
          <w:color w:val="484E52" w:themeColor="text1" w:themeTint="F2"/>
          <w:szCs w:val="20"/>
        </w:rPr>
        <w:t>ed</w:t>
      </w:r>
      <w:r>
        <w:rPr>
          <w:rFonts w:cs="Arial"/>
          <w:color w:val="484E52" w:themeColor="text1" w:themeTint="F2"/>
          <w:szCs w:val="20"/>
        </w:rPr>
        <w:t xml:space="preserve"> by the </w:t>
      </w:r>
      <w:proofErr w:type="spellStart"/>
      <w:r>
        <w:rPr>
          <w:rFonts w:cs="Arial"/>
          <w:color w:val="484E52" w:themeColor="text1" w:themeTint="F2"/>
          <w:szCs w:val="20"/>
        </w:rPr>
        <w:t>IFoA’s</w:t>
      </w:r>
      <w:proofErr w:type="spellEnd"/>
      <w:r>
        <w:rPr>
          <w:rFonts w:cs="Arial"/>
          <w:color w:val="484E52" w:themeColor="text1" w:themeTint="F2"/>
          <w:szCs w:val="20"/>
        </w:rPr>
        <w:t xml:space="preserve"> </w:t>
      </w:r>
      <w:r w:rsidR="00C53DE4">
        <w:rPr>
          <w:rFonts w:cs="Arial"/>
          <w:color w:val="484E52" w:themeColor="text1" w:themeTint="F2"/>
          <w:szCs w:val="20"/>
        </w:rPr>
        <w:t xml:space="preserve">CDC Working Group </w:t>
      </w:r>
      <w:r>
        <w:rPr>
          <w:rFonts w:cs="Arial"/>
          <w:color w:val="484E52" w:themeColor="text1" w:themeTint="F2"/>
          <w:szCs w:val="20"/>
        </w:rPr>
        <w:t xml:space="preserve">chaired by Simon Eagle, with review from the </w:t>
      </w:r>
      <w:proofErr w:type="spellStart"/>
      <w:r>
        <w:rPr>
          <w:rFonts w:cs="Arial"/>
          <w:color w:val="484E52" w:themeColor="text1" w:themeTint="F2"/>
          <w:szCs w:val="20"/>
        </w:rPr>
        <w:t>IFoA’s</w:t>
      </w:r>
      <w:proofErr w:type="spellEnd"/>
      <w:r>
        <w:rPr>
          <w:rFonts w:cs="Arial"/>
          <w:color w:val="484E52" w:themeColor="text1" w:themeTint="F2"/>
          <w:szCs w:val="20"/>
        </w:rPr>
        <w:t xml:space="preserve"> Pensions Board chaired by Leah Evans.  </w:t>
      </w:r>
      <w:r w:rsidR="00C53DE4">
        <w:rPr>
          <w:rFonts w:cs="Arial"/>
          <w:color w:val="484E52" w:themeColor="text1" w:themeTint="F2"/>
          <w:szCs w:val="20"/>
        </w:rPr>
        <w:t>Should you wish to discuss any of the points raised in this submission in more detail please contact Caolan Ward, Policy Manager, (</w:t>
      </w:r>
      <w:hyperlink r:id="rId11" w:history="1">
        <w:r w:rsidR="00C53DE4">
          <w:rPr>
            <w:rStyle w:val="Hyperlink"/>
            <w:rFonts w:cs="Arial"/>
            <w:szCs w:val="20"/>
          </w:rPr>
          <w:t>caolan.ward@actuaries.org.uk</w:t>
        </w:r>
      </w:hyperlink>
      <w:r w:rsidR="00C53DE4">
        <w:rPr>
          <w:rFonts w:cs="Arial"/>
          <w:color w:val="484E52" w:themeColor="text1" w:themeTint="F2"/>
          <w:szCs w:val="20"/>
        </w:rPr>
        <w:t>) in the first instance.</w:t>
      </w:r>
    </w:p>
    <w:p w14:paraId="68F8F932" w14:textId="2CCB9846" w:rsidR="00C53DE4" w:rsidRDefault="00C53DE4" w:rsidP="001B6CA2">
      <w:pPr>
        <w:spacing w:after="0" w:line="250" w:lineRule="exact"/>
        <w:rPr>
          <w:rFonts w:cs="Arial"/>
          <w:color w:val="484E52" w:themeColor="text1" w:themeTint="F2"/>
          <w:szCs w:val="20"/>
        </w:rPr>
      </w:pPr>
    </w:p>
    <w:p w14:paraId="199D8934" w14:textId="77777777" w:rsidR="00F16252" w:rsidRPr="001E3653" w:rsidRDefault="00F16252" w:rsidP="001B6CA2">
      <w:pPr>
        <w:spacing w:after="0" w:line="250" w:lineRule="exact"/>
        <w:rPr>
          <w:rFonts w:cs="Arial"/>
          <w:color w:val="484E52" w:themeColor="text1" w:themeTint="F2"/>
          <w:szCs w:val="20"/>
        </w:rPr>
      </w:pPr>
    </w:p>
    <w:p w14:paraId="56DFD1AC" w14:textId="77777777" w:rsidR="00705D91" w:rsidRPr="008C2015" w:rsidRDefault="00705D91" w:rsidP="00705D91">
      <w:pPr>
        <w:spacing w:after="0"/>
        <w:rPr>
          <w:rFonts w:cs="Arial"/>
          <w:b/>
          <w:color w:val="484E52" w:themeColor="text1" w:themeTint="F2"/>
          <w:sz w:val="22"/>
        </w:rPr>
      </w:pPr>
      <w:r w:rsidRPr="008C2015">
        <w:rPr>
          <w:rFonts w:cs="Arial"/>
          <w:b/>
          <w:color w:val="484E52" w:themeColor="text1" w:themeTint="F2"/>
          <w:sz w:val="22"/>
        </w:rPr>
        <w:t xml:space="preserve">Opening comments </w:t>
      </w:r>
    </w:p>
    <w:p w14:paraId="637B9CC2" w14:textId="77777777" w:rsidR="00705D91" w:rsidRDefault="00705D91" w:rsidP="00705D91">
      <w:pPr>
        <w:spacing w:after="0"/>
        <w:rPr>
          <w:rFonts w:cs="Arial"/>
          <w:color w:val="484E52" w:themeColor="text1" w:themeTint="F2"/>
          <w:szCs w:val="20"/>
        </w:rPr>
      </w:pPr>
    </w:p>
    <w:p w14:paraId="644378F5" w14:textId="3E87D2FE" w:rsidR="008C2015" w:rsidRDefault="00705D91" w:rsidP="00705D91">
      <w:pPr>
        <w:spacing w:after="0"/>
        <w:rPr>
          <w:rFonts w:cs="Arial"/>
          <w:color w:val="484E52" w:themeColor="text1" w:themeTint="F2"/>
          <w:szCs w:val="20"/>
        </w:rPr>
      </w:pPr>
      <w:r>
        <w:rPr>
          <w:rFonts w:cs="Arial"/>
          <w:color w:val="484E52" w:themeColor="text1" w:themeTint="F2"/>
          <w:szCs w:val="20"/>
        </w:rPr>
        <w:t xml:space="preserve">It is clear that the Regulator has completed a substantial amount of work to draft the Code of Practice to facilitate the introduction </w:t>
      </w:r>
      <w:r w:rsidR="00B0587C">
        <w:rPr>
          <w:rFonts w:cs="Arial"/>
          <w:color w:val="484E52" w:themeColor="text1" w:themeTint="F2"/>
          <w:szCs w:val="20"/>
        </w:rPr>
        <w:t>of CDC pension</w:t>
      </w:r>
      <w:r w:rsidR="00625633">
        <w:rPr>
          <w:rFonts w:cs="Arial"/>
          <w:color w:val="484E52" w:themeColor="text1" w:themeTint="F2"/>
          <w:szCs w:val="20"/>
        </w:rPr>
        <w:t xml:space="preserve"> scheme</w:t>
      </w:r>
      <w:r w:rsidR="00B0587C">
        <w:rPr>
          <w:rFonts w:cs="Arial"/>
          <w:color w:val="484E52" w:themeColor="text1" w:themeTint="F2"/>
          <w:szCs w:val="20"/>
        </w:rPr>
        <w:t xml:space="preserve">s to the UK, </w:t>
      </w:r>
      <w:r>
        <w:rPr>
          <w:rFonts w:cs="Arial"/>
          <w:color w:val="484E52" w:themeColor="text1" w:themeTint="F2"/>
          <w:szCs w:val="20"/>
        </w:rPr>
        <w:t xml:space="preserve">and we see that as a good thing for pensions </w:t>
      </w:r>
      <w:r w:rsidR="001C55BD">
        <w:rPr>
          <w:rFonts w:cs="Arial"/>
          <w:color w:val="484E52" w:themeColor="text1" w:themeTint="F2"/>
          <w:szCs w:val="20"/>
        </w:rPr>
        <w:t>which is</w:t>
      </w:r>
      <w:r>
        <w:rPr>
          <w:rFonts w:cs="Arial"/>
          <w:color w:val="484E52" w:themeColor="text1" w:themeTint="F2"/>
          <w:szCs w:val="20"/>
        </w:rPr>
        <w:t xml:space="preserve"> in the public interest as it will </w:t>
      </w:r>
      <w:r w:rsidR="0031394C">
        <w:rPr>
          <w:rFonts w:cs="Arial"/>
          <w:color w:val="484E52" w:themeColor="text1" w:themeTint="F2"/>
          <w:szCs w:val="20"/>
        </w:rPr>
        <w:t>facilitate</w:t>
      </w:r>
      <w:r>
        <w:rPr>
          <w:rFonts w:cs="Arial"/>
          <w:color w:val="484E52" w:themeColor="text1" w:themeTint="F2"/>
          <w:szCs w:val="20"/>
        </w:rPr>
        <w:t xml:space="preserve"> the first tranche of CDC schemes.  </w:t>
      </w:r>
      <w:r w:rsidR="005201E9">
        <w:rPr>
          <w:rFonts w:cs="Arial"/>
          <w:color w:val="484E52" w:themeColor="text1" w:themeTint="F2"/>
          <w:szCs w:val="20"/>
        </w:rPr>
        <w:t xml:space="preserve">We have been pleased to assist the Regulator </w:t>
      </w:r>
      <w:r w:rsidR="0031394C">
        <w:rPr>
          <w:rFonts w:cs="Arial"/>
          <w:color w:val="484E52" w:themeColor="text1" w:themeTint="F2"/>
          <w:szCs w:val="20"/>
        </w:rPr>
        <w:t xml:space="preserve">already </w:t>
      </w:r>
      <w:r w:rsidR="00737664">
        <w:rPr>
          <w:rFonts w:cs="Arial"/>
          <w:color w:val="484E52" w:themeColor="text1" w:themeTint="F2"/>
          <w:szCs w:val="20"/>
        </w:rPr>
        <w:t xml:space="preserve">with this process, which we know has been a challenge </w:t>
      </w:r>
      <w:r w:rsidR="009B1428">
        <w:rPr>
          <w:rFonts w:cs="Arial"/>
          <w:color w:val="484E52" w:themeColor="text1" w:themeTint="F2"/>
          <w:szCs w:val="20"/>
        </w:rPr>
        <w:t xml:space="preserve">to do </w:t>
      </w:r>
      <w:r>
        <w:rPr>
          <w:rFonts w:cs="Arial"/>
          <w:color w:val="484E52" w:themeColor="text1" w:themeTint="F2"/>
          <w:szCs w:val="20"/>
        </w:rPr>
        <w:t>before any CDC schemes have been opened</w:t>
      </w:r>
      <w:r w:rsidR="009B1428">
        <w:rPr>
          <w:rFonts w:cs="Arial"/>
          <w:color w:val="484E52" w:themeColor="text1" w:themeTint="F2"/>
          <w:szCs w:val="20"/>
        </w:rPr>
        <w:t xml:space="preserve"> and </w:t>
      </w:r>
      <w:r w:rsidR="00D42464">
        <w:rPr>
          <w:rFonts w:cs="Arial"/>
          <w:color w:val="484E52" w:themeColor="text1" w:themeTint="F2"/>
          <w:szCs w:val="20"/>
        </w:rPr>
        <w:t>without</w:t>
      </w:r>
      <w:r w:rsidR="009B1428">
        <w:rPr>
          <w:rFonts w:cs="Arial"/>
          <w:color w:val="484E52" w:themeColor="text1" w:themeTint="F2"/>
          <w:szCs w:val="20"/>
        </w:rPr>
        <w:t xml:space="preserve"> any experience of authorising such schemes.</w:t>
      </w:r>
      <w:r>
        <w:rPr>
          <w:rFonts w:cs="Arial"/>
          <w:color w:val="484E52" w:themeColor="text1" w:themeTint="F2"/>
          <w:szCs w:val="20"/>
        </w:rPr>
        <w:t xml:space="preserve"> </w:t>
      </w:r>
      <w:r w:rsidR="009B1428">
        <w:rPr>
          <w:rFonts w:cs="Arial"/>
          <w:color w:val="484E52" w:themeColor="text1" w:themeTint="F2"/>
          <w:szCs w:val="20"/>
        </w:rPr>
        <w:t xml:space="preserve"> I</w:t>
      </w:r>
      <w:r>
        <w:rPr>
          <w:rFonts w:cs="Arial"/>
          <w:color w:val="484E52" w:themeColor="text1" w:themeTint="F2"/>
          <w:szCs w:val="20"/>
        </w:rPr>
        <w:t xml:space="preserve">t is inevitable that over time, as experience emerges, the </w:t>
      </w:r>
      <w:r w:rsidR="0005302C">
        <w:rPr>
          <w:rFonts w:cs="Arial"/>
          <w:color w:val="484E52" w:themeColor="text1" w:themeTint="F2"/>
          <w:szCs w:val="20"/>
        </w:rPr>
        <w:t>Regulator’s practices</w:t>
      </w:r>
      <w:r>
        <w:rPr>
          <w:rFonts w:cs="Arial"/>
          <w:color w:val="484E52" w:themeColor="text1" w:themeTint="F2"/>
          <w:szCs w:val="20"/>
        </w:rPr>
        <w:t xml:space="preserve"> will </w:t>
      </w:r>
      <w:r w:rsidR="00D42464">
        <w:rPr>
          <w:rFonts w:cs="Arial"/>
          <w:color w:val="484E52" w:themeColor="text1" w:themeTint="F2"/>
          <w:szCs w:val="20"/>
        </w:rPr>
        <w:t xml:space="preserve">need to </w:t>
      </w:r>
      <w:r>
        <w:rPr>
          <w:rFonts w:cs="Arial"/>
          <w:color w:val="484E52" w:themeColor="text1" w:themeTint="F2"/>
          <w:szCs w:val="20"/>
        </w:rPr>
        <w:t xml:space="preserve">evolve to allow for </w:t>
      </w:r>
      <w:r w:rsidR="00705432">
        <w:rPr>
          <w:rFonts w:cs="Arial"/>
          <w:color w:val="484E52" w:themeColor="text1" w:themeTint="F2"/>
          <w:szCs w:val="20"/>
        </w:rPr>
        <w:t>lessons learned</w:t>
      </w:r>
      <w:r>
        <w:rPr>
          <w:rFonts w:cs="Arial"/>
          <w:color w:val="484E52" w:themeColor="text1" w:themeTint="F2"/>
          <w:szCs w:val="20"/>
        </w:rPr>
        <w:t xml:space="preserve">.  </w:t>
      </w:r>
      <w:r w:rsidR="000C55B4">
        <w:rPr>
          <w:rFonts w:cs="Arial"/>
          <w:color w:val="484E52" w:themeColor="text1" w:themeTint="F2"/>
          <w:szCs w:val="20"/>
        </w:rPr>
        <w:t xml:space="preserve">Further, to the extent </w:t>
      </w:r>
      <w:r w:rsidR="003940F0">
        <w:rPr>
          <w:rFonts w:cs="Arial"/>
          <w:color w:val="484E52" w:themeColor="text1" w:themeTint="F2"/>
          <w:szCs w:val="20"/>
        </w:rPr>
        <w:t xml:space="preserve">other kinds of CDC schemes such as </w:t>
      </w:r>
      <w:proofErr w:type="spellStart"/>
      <w:r w:rsidR="003940F0">
        <w:rPr>
          <w:rFonts w:cs="Arial"/>
          <w:color w:val="484E52" w:themeColor="text1" w:themeTint="F2"/>
          <w:szCs w:val="20"/>
        </w:rPr>
        <w:t>multi employer</w:t>
      </w:r>
      <w:proofErr w:type="spellEnd"/>
      <w:r w:rsidR="003940F0">
        <w:rPr>
          <w:rFonts w:cs="Arial"/>
          <w:color w:val="484E52" w:themeColor="text1" w:themeTint="F2"/>
          <w:szCs w:val="20"/>
        </w:rPr>
        <w:t xml:space="preserve"> or master trust schemes become allowed by further changes in legislation, the Regulator’s Code of Practice will need to be updated.  </w:t>
      </w:r>
    </w:p>
    <w:p w14:paraId="69226C80" w14:textId="77777777" w:rsidR="008C2015" w:rsidRDefault="008C2015" w:rsidP="00705D91">
      <w:pPr>
        <w:spacing w:after="0"/>
        <w:rPr>
          <w:rFonts w:cs="Arial"/>
          <w:color w:val="484E52" w:themeColor="text1" w:themeTint="F2"/>
          <w:szCs w:val="20"/>
        </w:rPr>
      </w:pPr>
    </w:p>
    <w:p w14:paraId="1839A030" w14:textId="68A950A0" w:rsidR="00705D91" w:rsidRPr="008C2015" w:rsidRDefault="003940F0" w:rsidP="00705D91">
      <w:pPr>
        <w:spacing w:after="0"/>
        <w:rPr>
          <w:rFonts w:cs="Arial"/>
          <w:i/>
          <w:iCs/>
          <w:color w:val="484E52" w:themeColor="text1" w:themeTint="F2"/>
          <w:szCs w:val="20"/>
        </w:rPr>
      </w:pPr>
      <w:r w:rsidRPr="008C2015">
        <w:rPr>
          <w:rFonts w:cs="Arial"/>
          <w:b/>
          <w:bCs/>
          <w:i/>
          <w:iCs/>
          <w:color w:val="484E52" w:themeColor="text1" w:themeTint="F2"/>
          <w:szCs w:val="20"/>
        </w:rPr>
        <w:t>Therefore</w:t>
      </w:r>
      <w:r w:rsidRPr="008C2015">
        <w:rPr>
          <w:rFonts w:cs="Arial"/>
          <w:i/>
          <w:iCs/>
          <w:color w:val="484E52" w:themeColor="text1" w:themeTint="F2"/>
          <w:szCs w:val="20"/>
        </w:rPr>
        <w:t xml:space="preserve"> </w:t>
      </w:r>
      <w:r w:rsidRPr="008C2015">
        <w:rPr>
          <w:rFonts w:cs="Arial"/>
          <w:b/>
          <w:bCs/>
          <w:i/>
          <w:iCs/>
          <w:color w:val="484E52" w:themeColor="text1" w:themeTint="F2"/>
          <w:szCs w:val="20"/>
        </w:rPr>
        <w:t xml:space="preserve">we suggest the Regulator </w:t>
      </w:r>
      <w:r w:rsidR="00D1204C" w:rsidRPr="008C2015">
        <w:rPr>
          <w:rFonts w:cs="Arial"/>
          <w:b/>
          <w:bCs/>
          <w:i/>
          <w:iCs/>
          <w:color w:val="484E52" w:themeColor="text1" w:themeTint="F2"/>
          <w:szCs w:val="20"/>
        </w:rPr>
        <w:t>record</w:t>
      </w:r>
      <w:r w:rsidR="008C2015" w:rsidRPr="008C2015">
        <w:rPr>
          <w:rFonts w:cs="Arial"/>
          <w:b/>
          <w:bCs/>
          <w:i/>
          <w:iCs/>
          <w:color w:val="484E52" w:themeColor="text1" w:themeTint="F2"/>
          <w:szCs w:val="20"/>
        </w:rPr>
        <w:t>s</w:t>
      </w:r>
      <w:r w:rsidR="00D1204C" w:rsidRPr="008C2015">
        <w:rPr>
          <w:rFonts w:cs="Arial"/>
          <w:b/>
          <w:bCs/>
          <w:i/>
          <w:iCs/>
          <w:color w:val="484E52" w:themeColor="text1" w:themeTint="F2"/>
          <w:szCs w:val="20"/>
        </w:rPr>
        <w:t xml:space="preserve"> that the initial Code is to be reviewed to allow for these developments, perhaps within three years at the latest</w:t>
      </w:r>
      <w:r w:rsidR="00D1204C" w:rsidRPr="008C2015">
        <w:rPr>
          <w:rFonts w:cs="Arial"/>
          <w:i/>
          <w:iCs/>
          <w:color w:val="484E52" w:themeColor="text1" w:themeTint="F2"/>
          <w:szCs w:val="20"/>
        </w:rPr>
        <w:t>.</w:t>
      </w:r>
    </w:p>
    <w:p w14:paraId="03A14956" w14:textId="4BA54637" w:rsidR="000578A4" w:rsidRDefault="000578A4" w:rsidP="00983BC0">
      <w:pPr>
        <w:spacing w:after="0" w:line="250" w:lineRule="exact"/>
        <w:rPr>
          <w:rFonts w:cs="Arial"/>
        </w:rPr>
      </w:pPr>
    </w:p>
    <w:p w14:paraId="1E8379E9" w14:textId="77777777" w:rsidR="00F16252" w:rsidRDefault="00F16252" w:rsidP="00983BC0">
      <w:pPr>
        <w:spacing w:after="0" w:line="250" w:lineRule="exact"/>
        <w:rPr>
          <w:rFonts w:cs="Arial"/>
        </w:rPr>
      </w:pPr>
    </w:p>
    <w:p w14:paraId="3792EFEB" w14:textId="77777777" w:rsidR="00AE2477" w:rsidRPr="008C2015" w:rsidRDefault="00AE2477" w:rsidP="00AE2477">
      <w:pPr>
        <w:spacing w:after="0"/>
        <w:rPr>
          <w:rFonts w:cs="Arial"/>
          <w:b/>
          <w:iCs/>
          <w:color w:val="484E52" w:themeColor="text1" w:themeTint="F2"/>
          <w:sz w:val="22"/>
        </w:rPr>
      </w:pPr>
      <w:proofErr w:type="spellStart"/>
      <w:r w:rsidRPr="008C2015">
        <w:rPr>
          <w:rFonts w:cs="Arial"/>
          <w:b/>
          <w:iCs/>
          <w:color w:val="484E52" w:themeColor="text1" w:themeTint="F2"/>
          <w:sz w:val="22"/>
        </w:rPr>
        <w:t>IFoA</w:t>
      </w:r>
      <w:proofErr w:type="spellEnd"/>
      <w:r w:rsidRPr="008C2015">
        <w:rPr>
          <w:rFonts w:cs="Arial"/>
          <w:b/>
          <w:iCs/>
          <w:color w:val="484E52" w:themeColor="text1" w:themeTint="F2"/>
          <w:sz w:val="22"/>
        </w:rPr>
        <w:t xml:space="preserve"> response </w:t>
      </w:r>
    </w:p>
    <w:p w14:paraId="0FD5B7CE" w14:textId="77777777" w:rsidR="00AE2477" w:rsidRDefault="00AE2477" w:rsidP="00983BC0">
      <w:pPr>
        <w:spacing w:after="0" w:line="250" w:lineRule="exact"/>
        <w:rPr>
          <w:rFonts w:cs="Arial"/>
        </w:rPr>
      </w:pPr>
    </w:p>
    <w:p w14:paraId="5D8726BB" w14:textId="4128CDB2" w:rsidR="000578A4" w:rsidRDefault="00F10A03" w:rsidP="00983BC0">
      <w:pPr>
        <w:spacing w:after="0" w:line="250" w:lineRule="exact"/>
        <w:rPr>
          <w:rFonts w:cs="Arial"/>
        </w:rPr>
      </w:pPr>
      <w:r>
        <w:rPr>
          <w:rFonts w:cs="Arial"/>
        </w:rPr>
        <w:t xml:space="preserve">In the following, we have sought to </w:t>
      </w:r>
      <w:r w:rsidR="00126EA7">
        <w:rPr>
          <w:rFonts w:cs="Arial"/>
        </w:rPr>
        <w:t xml:space="preserve">answer only those questions </w:t>
      </w:r>
      <w:r w:rsidR="000C2372">
        <w:rPr>
          <w:rFonts w:cs="Arial"/>
        </w:rPr>
        <w:t xml:space="preserve">to which </w:t>
      </w:r>
      <w:r w:rsidR="00126EA7">
        <w:rPr>
          <w:rFonts w:cs="Arial"/>
        </w:rPr>
        <w:t>actuarial</w:t>
      </w:r>
      <w:r w:rsidR="000C2372">
        <w:rPr>
          <w:rFonts w:cs="Arial"/>
        </w:rPr>
        <w:t xml:space="preserve"> work on CDC schemes will have the most bearing, mainly </w:t>
      </w:r>
      <w:r w:rsidR="00F70B66">
        <w:rPr>
          <w:rFonts w:cs="Arial"/>
        </w:rPr>
        <w:t xml:space="preserve">those </w:t>
      </w:r>
      <w:r w:rsidR="000C2372">
        <w:rPr>
          <w:rFonts w:cs="Arial"/>
        </w:rPr>
        <w:t>relating to Scheme Design</w:t>
      </w:r>
      <w:r w:rsidR="00F70B66">
        <w:rPr>
          <w:rFonts w:cs="Arial"/>
        </w:rPr>
        <w:t>.</w:t>
      </w:r>
      <w:r w:rsidR="008C2015">
        <w:rPr>
          <w:rFonts w:cs="Arial"/>
        </w:rPr>
        <w:t xml:space="preserve">  We make a number of comments designed to help the Code allow for particular features of CDC, and in particular we </w:t>
      </w:r>
      <w:r w:rsidR="00D42464">
        <w:rPr>
          <w:rFonts w:cs="Arial"/>
        </w:rPr>
        <w:t>urge TPR</w:t>
      </w:r>
      <w:r w:rsidR="008C2015">
        <w:rPr>
          <w:rFonts w:cs="Arial"/>
        </w:rPr>
        <w:t xml:space="preserve"> under Q27 </w:t>
      </w:r>
      <w:r w:rsidR="00D42464">
        <w:rPr>
          <w:rFonts w:cs="Arial"/>
        </w:rPr>
        <w:t>to make a number of additions</w:t>
      </w:r>
      <w:r w:rsidR="008C2015">
        <w:rPr>
          <w:rFonts w:cs="Arial"/>
        </w:rPr>
        <w:t xml:space="preserve"> to the template actuarial design viability certificate to make it more feasible for a CDC scheme actuary to use the certificate.</w:t>
      </w:r>
    </w:p>
    <w:p w14:paraId="6CCB724E" w14:textId="53ECFB11" w:rsidR="001C55BD" w:rsidRDefault="001C55BD" w:rsidP="00983BC0">
      <w:pPr>
        <w:spacing w:after="0" w:line="250" w:lineRule="exact"/>
        <w:rPr>
          <w:rFonts w:cs="Arial"/>
        </w:rPr>
      </w:pPr>
    </w:p>
    <w:p w14:paraId="4568A832" w14:textId="7A7D6DEB" w:rsidR="001C55BD" w:rsidRDefault="001C55BD" w:rsidP="00983BC0">
      <w:pPr>
        <w:spacing w:after="0" w:line="250" w:lineRule="exact"/>
        <w:rPr>
          <w:rFonts w:cs="Arial"/>
        </w:rPr>
      </w:pPr>
      <w:r>
        <w:rPr>
          <w:rFonts w:cs="Arial"/>
        </w:rPr>
        <w:lastRenderedPageBreak/>
        <w:t>As a general comment, we also note that it is unclear from the Code where requirements are just summaries or restatements of requirements in the legislation, where TPR is proposing specific additional requirements and which aspects of what is set out are in the “nice to have but not essential” category. We would prefer the code to be drafted in such a way that this is clearer.</w:t>
      </w:r>
    </w:p>
    <w:p w14:paraId="24E5C082" w14:textId="77777777" w:rsidR="000578A4" w:rsidRDefault="000578A4" w:rsidP="00983BC0">
      <w:pPr>
        <w:spacing w:after="0" w:line="250" w:lineRule="exact"/>
        <w:rPr>
          <w:rFonts w:cs="Arial"/>
        </w:rPr>
      </w:pPr>
    </w:p>
    <w:p w14:paraId="15F7A45D" w14:textId="77777777" w:rsidR="00F16252" w:rsidRDefault="00F16252" w:rsidP="00AE2477">
      <w:pPr>
        <w:spacing w:after="0" w:line="250" w:lineRule="exact"/>
        <w:ind w:left="284" w:hanging="284"/>
        <w:rPr>
          <w:rFonts w:cs="Arial"/>
          <w:b/>
          <w:bCs/>
        </w:rPr>
      </w:pPr>
    </w:p>
    <w:p w14:paraId="5B176D5E" w14:textId="77777777" w:rsidR="00F16252" w:rsidRDefault="00F16252" w:rsidP="00AE2477">
      <w:pPr>
        <w:spacing w:after="0" w:line="250" w:lineRule="exact"/>
        <w:ind w:left="284" w:hanging="284"/>
        <w:rPr>
          <w:rFonts w:cs="Arial"/>
          <w:b/>
          <w:bCs/>
        </w:rPr>
      </w:pPr>
    </w:p>
    <w:p w14:paraId="0E6293C2" w14:textId="58694F63" w:rsidR="004F4427" w:rsidRDefault="004F4427" w:rsidP="00AE2477">
      <w:pPr>
        <w:spacing w:after="0" w:line="250" w:lineRule="exact"/>
        <w:ind w:left="284" w:hanging="284"/>
        <w:rPr>
          <w:rFonts w:cs="Arial"/>
          <w:b/>
          <w:bCs/>
        </w:rPr>
      </w:pPr>
      <w:r>
        <w:rPr>
          <w:rFonts w:cs="Arial"/>
          <w:b/>
          <w:bCs/>
        </w:rPr>
        <w:t>General question:</w:t>
      </w:r>
    </w:p>
    <w:p w14:paraId="6AF8A4C7" w14:textId="77777777" w:rsidR="004F4427" w:rsidRDefault="004F4427" w:rsidP="00AE2477">
      <w:pPr>
        <w:spacing w:after="0" w:line="250" w:lineRule="exact"/>
        <w:ind w:left="284" w:hanging="284"/>
        <w:rPr>
          <w:rFonts w:cs="Arial"/>
          <w:b/>
          <w:bCs/>
        </w:rPr>
      </w:pPr>
    </w:p>
    <w:p w14:paraId="15AB3AA3" w14:textId="76CB2934" w:rsidR="00912AA6" w:rsidRPr="00AE2477" w:rsidRDefault="00912AA6" w:rsidP="00AE2477">
      <w:pPr>
        <w:spacing w:after="0" w:line="250" w:lineRule="exact"/>
        <w:ind w:left="284" w:hanging="284"/>
        <w:rPr>
          <w:rFonts w:cs="Arial"/>
          <w:b/>
          <w:bCs/>
        </w:rPr>
      </w:pPr>
      <w:r w:rsidRPr="00AE2477">
        <w:rPr>
          <w:rFonts w:cs="Arial"/>
          <w:b/>
          <w:bCs/>
        </w:rPr>
        <w:t>1.</w:t>
      </w:r>
      <w:r w:rsidRPr="00AE2477">
        <w:rPr>
          <w:rFonts w:cs="Arial"/>
          <w:b/>
          <w:bCs/>
        </w:rPr>
        <w:tab/>
        <w:t>Do you consider that any important areas of the authorisation criteria have been missed in the new code?</w:t>
      </w:r>
    </w:p>
    <w:p w14:paraId="792C882C" w14:textId="77777777" w:rsidR="00F65F22" w:rsidRDefault="00F65F22" w:rsidP="00912AA6">
      <w:pPr>
        <w:spacing w:after="0" w:line="250" w:lineRule="exact"/>
        <w:rPr>
          <w:rFonts w:cs="Arial"/>
        </w:rPr>
      </w:pPr>
    </w:p>
    <w:p w14:paraId="4A402BAD" w14:textId="12F83B92" w:rsidR="00075949" w:rsidRDefault="00D42464" w:rsidP="00912AA6">
      <w:pPr>
        <w:spacing w:after="0" w:line="250" w:lineRule="exact"/>
        <w:rPr>
          <w:rFonts w:cs="Arial"/>
        </w:rPr>
      </w:pPr>
      <w:r>
        <w:rPr>
          <w:rFonts w:cs="Arial"/>
        </w:rPr>
        <w:t>Yes</w:t>
      </w:r>
      <w:r w:rsidR="00490EBE">
        <w:rPr>
          <w:rFonts w:cs="Arial"/>
        </w:rPr>
        <w:t xml:space="preserve">.  </w:t>
      </w:r>
    </w:p>
    <w:p w14:paraId="7A0FAAA0" w14:textId="77777777" w:rsidR="00075949" w:rsidRDefault="00075949" w:rsidP="00912AA6">
      <w:pPr>
        <w:spacing w:after="0" w:line="250" w:lineRule="exact"/>
        <w:rPr>
          <w:rFonts w:cs="Arial"/>
        </w:rPr>
      </w:pPr>
    </w:p>
    <w:p w14:paraId="40238569" w14:textId="25E1C4C6" w:rsidR="00840D0C" w:rsidRDefault="00490EBE" w:rsidP="00912AA6">
      <w:pPr>
        <w:spacing w:after="0" w:line="250" w:lineRule="exact"/>
        <w:rPr>
          <w:rFonts w:cs="Arial"/>
        </w:rPr>
      </w:pPr>
      <w:r>
        <w:rPr>
          <w:rFonts w:cs="Arial"/>
        </w:rPr>
        <w:t xml:space="preserve">The </w:t>
      </w:r>
      <w:r w:rsidR="007476BF">
        <w:rPr>
          <w:rFonts w:cs="Arial"/>
        </w:rPr>
        <w:t xml:space="preserve">Code is silent on the setting of member option terms.  We note that the new regulations require that CETVs are based on </w:t>
      </w:r>
      <w:r w:rsidR="00D42464">
        <w:rPr>
          <w:rFonts w:cs="Arial"/>
        </w:rPr>
        <w:t>”</w:t>
      </w:r>
      <w:r w:rsidR="007476BF">
        <w:rPr>
          <w:rFonts w:cs="Arial"/>
        </w:rPr>
        <w:t xml:space="preserve">share of </w:t>
      </w:r>
      <w:r w:rsidR="00D42464">
        <w:rPr>
          <w:rFonts w:cs="Arial"/>
        </w:rPr>
        <w:t>fund”</w:t>
      </w:r>
      <w:r w:rsidR="007476BF">
        <w:rPr>
          <w:rFonts w:cs="Arial"/>
        </w:rPr>
        <w:t xml:space="preserve"> principles using “central estimate” assumptions, </w:t>
      </w:r>
      <w:r w:rsidR="00C721C7">
        <w:rPr>
          <w:rFonts w:cs="Arial"/>
        </w:rPr>
        <w:t xml:space="preserve">but don’t have requirements for other member options such as early / late retirement or commutation.  </w:t>
      </w:r>
      <w:r w:rsidR="005B7967">
        <w:rPr>
          <w:rFonts w:cs="Arial"/>
        </w:rPr>
        <w:t xml:space="preserve">In our view it would be </w:t>
      </w:r>
      <w:r w:rsidR="001C55BD">
        <w:rPr>
          <w:rFonts w:cs="Arial"/>
        </w:rPr>
        <w:t xml:space="preserve">inappropriate to set terms for member options that were more </w:t>
      </w:r>
      <w:r w:rsidR="00A41ECA">
        <w:rPr>
          <w:rFonts w:cs="Arial"/>
        </w:rPr>
        <w:t xml:space="preserve">or less </w:t>
      </w:r>
      <w:r w:rsidR="001C55BD">
        <w:rPr>
          <w:rFonts w:cs="Arial"/>
        </w:rPr>
        <w:t>generous than those using central estimates (</w:t>
      </w:r>
      <w:r w:rsidR="00A41ECA">
        <w:rPr>
          <w:rFonts w:cs="Arial"/>
        </w:rPr>
        <w:t>i.e. those</w:t>
      </w:r>
      <w:r w:rsidR="001C55BD">
        <w:rPr>
          <w:rFonts w:cs="Arial"/>
        </w:rPr>
        <w:t xml:space="preserve"> viewed as “cost neutral”) as this would impact sound scheme design</w:t>
      </w:r>
      <w:r w:rsidR="00127067">
        <w:rPr>
          <w:rFonts w:cs="Arial"/>
        </w:rPr>
        <w:t xml:space="preserve">.  It could be appropriate for the Regulator to include </w:t>
      </w:r>
      <w:r w:rsidR="003759CB">
        <w:rPr>
          <w:rFonts w:cs="Arial"/>
        </w:rPr>
        <w:t xml:space="preserve">points on this in the Code, to </w:t>
      </w:r>
      <w:r w:rsidR="00D42464">
        <w:rPr>
          <w:rFonts w:cs="Arial"/>
        </w:rPr>
        <w:t xml:space="preserve">act </w:t>
      </w:r>
      <w:r w:rsidR="003759CB">
        <w:rPr>
          <w:rFonts w:cs="Arial"/>
        </w:rPr>
        <w:t xml:space="preserve">as a reference point when considering </w:t>
      </w:r>
      <w:r w:rsidR="000D45F7">
        <w:rPr>
          <w:rFonts w:cs="Arial"/>
        </w:rPr>
        <w:t xml:space="preserve">proposed scheme rules on the principles for the setting of member option terms, as part of initial </w:t>
      </w:r>
      <w:r w:rsidR="003759CB">
        <w:rPr>
          <w:rFonts w:cs="Arial"/>
        </w:rPr>
        <w:t xml:space="preserve">authorisation of </w:t>
      </w:r>
      <w:r w:rsidR="000D45F7">
        <w:rPr>
          <w:rFonts w:cs="Arial"/>
        </w:rPr>
        <w:t xml:space="preserve">CDC </w:t>
      </w:r>
      <w:r w:rsidR="003759CB">
        <w:rPr>
          <w:rFonts w:cs="Arial"/>
        </w:rPr>
        <w:t>scheme</w:t>
      </w:r>
      <w:r w:rsidR="00A455C8">
        <w:rPr>
          <w:rFonts w:cs="Arial"/>
        </w:rPr>
        <w:t>s</w:t>
      </w:r>
      <w:r w:rsidR="000D45F7">
        <w:rPr>
          <w:rFonts w:cs="Arial"/>
        </w:rPr>
        <w:t>.</w:t>
      </w:r>
      <w:r w:rsidR="00A455C8">
        <w:rPr>
          <w:rFonts w:cs="Arial"/>
        </w:rPr>
        <w:t xml:space="preserve"> </w:t>
      </w:r>
    </w:p>
    <w:p w14:paraId="43BD4990" w14:textId="77777777" w:rsidR="00F65F22" w:rsidRDefault="00F65F22" w:rsidP="00912AA6">
      <w:pPr>
        <w:spacing w:after="0" w:line="250" w:lineRule="exact"/>
        <w:rPr>
          <w:rFonts w:cs="Arial"/>
          <w:b/>
          <w:bCs/>
        </w:rPr>
      </w:pPr>
    </w:p>
    <w:p w14:paraId="2005AE3E" w14:textId="77777777" w:rsidR="0018326A" w:rsidRPr="0018326A" w:rsidRDefault="0018326A" w:rsidP="0018326A">
      <w:pPr>
        <w:spacing w:after="0" w:line="250" w:lineRule="exact"/>
        <w:rPr>
          <w:rFonts w:cs="Arial"/>
          <w:b/>
          <w:bCs/>
        </w:rPr>
      </w:pPr>
      <w:r w:rsidRPr="0018326A">
        <w:rPr>
          <w:rFonts w:cs="Arial"/>
          <w:b/>
          <w:bCs/>
        </w:rPr>
        <w:t xml:space="preserve">4.    Is it clear what constitutes a section and when you must divide a scheme into multiple sections? </w:t>
      </w:r>
    </w:p>
    <w:p w14:paraId="14FA3DAC" w14:textId="77777777" w:rsidR="0018326A" w:rsidRPr="0018326A" w:rsidRDefault="0018326A" w:rsidP="0018326A">
      <w:pPr>
        <w:spacing w:after="0" w:line="250" w:lineRule="exact"/>
        <w:rPr>
          <w:rFonts w:cs="Arial"/>
          <w:b/>
          <w:bCs/>
        </w:rPr>
      </w:pPr>
    </w:p>
    <w:p w14:paraId="5604490A" w14:textId="5973DF31" w:rsidR="0018326A" w:rsidRPr="0018326A" w:rsidRDefault="00831A06" w:rsidP="0018326A">
      <w:pPr>
        <w:spacing w:after="0" w:line="250" w:lineRule="exact"/>
        <w:rPr>
          <w:rFonts w:cs="Arial"/>
        </w:rPr>
      </w:pPr>
      <w:r>
        <w:rPr>
          <w:rFonts w:cs="Arial"/>
        </w:rPr>
        <w:t xml:space="preserve">We recognise that </w:t>
      </w:r>
      <w:r w:rsidR="0018326A" w:rsidRPr="0018326A">
        <w:rPr>
          <w:rFonts w:cs="Arial"/>
        </w:rPr>
        <w:t xml:space="preserve">TPR is not responsible for the wording of the regulations it is tasked to implement, nevertheless </w:t>
      </w:r>
      <w:r>
        <w:rPr>
          <w:rFonts w:cs="Arial"/>
        </w:rPr>
        <w:t xml:space="preserve">the </w:t>
      </w:r>
      <w:proofErr w:type="spellStart"/>
      <w:r>
        <w:rPr>
          <w:rFonts w:cs="Arial"/>
        </w:rPr>
        <w:t>IFoA</w:t>
      </w:r>
      <w:proofErr w:type="spellEnd"/>
      <w:r>
        <w:rPr>
          <w:rFonts w:cs="Arial"/>
        </w:rPr>
        <w:t xml:space="preserve"> would highlight </w:t>
      </w:r>
      <w:r w:rsidR="0018326A" w:rsidRPr="0018326A">
        <w:rPr>
          <w:rFonts w:cs="Arial"/>
        </w:rPr>
        <w:t xml:space="preserve">that the items listed in regulations as triggering a new section (a change of accrual rate, contribution rate or NRA) are not, on their own, necessary and sufficient reasons to trigger a new section. </w:t>
      </w:r>
      <w:r w:rsidR="0018326A">
        <w:rPr>
          <w:rFonts w:cs="Arial"/>
        </w:rPr>
        <w:t xml:space="preserve">There can be different benefit designs and contribution rates, provided that they fit into a single actuarial management policy. </w:t>
      </w:r>
      <w:r w:rsidR="0018326A" w:rsidRPr="0018326A">
        <w:rPr>
          <w:rFonts w:cs="Arial"/>
        </w:rPr>
        <w:t>For</w:t>
      </w:r>
      <w:r w:rsidR="0018326A">
        <w:rPr>
          <w:rFonts w:cs="Arial"/>
        </w:rPr>
        <w:t xml:space="preserve"> a simple</w:t>
      </w:r>
      <w:r w:rsidR="0018326A" w:rsidRPr="0018326A">
        <w:rPr>
          <w:rFonts w:cs="Arial"/>
        </w:rPr>
        <w:t xml:space="preserve"> example, it is actuarially possible to have a group of members on 1/60 accrual and 20% contribution in the same section as another group on 1/80 accrual and 15% contribution, the ratio of accrual to contributions being the same in the two groups. They can be in the same section and share in the same actuarial management policy.</w:t>
      </w:r>
    </w:p>
    <w:p w14:paraId="4923BA43" w14:textId="77777777" w:rsidR="0018326A" w:rsidRDefault="0018326A" w:rsidP="0018326A">
      <w:pPr>
        <w:spacing w:after="0" w:line="250" w:lineRule="exact"/>
        <w:rPr>
          <w:rFonts w:cs="Arial"/>
          <w:b/>
          <w:bCs/>
        </w:rPr>
      </w:pPr>
    </w:p>
    <w:p w14:paraId="3B80F34A" w14:textId="77777777" w:rsidR="00A317B9" w:rsidRPr="00902AA7" w:rsidRDefault="00A317B9" w:rsidP="00A317B9">
      <w:pPr>
        <w:rPr>
          <w:b/>
          <w:bCs/>
          <w:u w:val="single"/>
        </w:rPr>
      </w:pPr>
      <w:r w:rsidRPr="00902AA7">
        <w:rPr>
          <w:b/>
          <w:bCs/>
          <w:u w:val="single"/>
        </w:rPr>
        <w:t>Member communications</w:t>
      </w:r>
    </w:p>
    <w:p w14:paraId="5D022BA8" w14:textId="77777777" w:rsidR="00A317B9" w:rsidRPr="005C7C4D" w:rsidRDefault="00A317B9" w:rsidP="00A317B9">
      <w:pPr>
        <w:pStyle w:val="ListParagraph"/>
        <w:numPr>
          <w:ilvl w:val="0"/>
          <w:numId w:val="37"/>
        </w:numPr>
        <w:spacing w:after="160" w:line="259" w:lineRule="auto"/>
        <w:ind w:left="426" w:hanging="426"/>
        <w:rPr>
          <w:b/>
          <w:bCs/>
        </w:rPr>
      </w:pPr>
      <w:r w:rsidRPr="005C7C4D">
        <w:rPr>
          <w:b/>
          <w:bCs/>
        </w:rPr>
        <w:t>Is the level of detail we have set out appropriate?</w:t>
      </w:r>
    </w:p>
    <w:p w14:paraId="3751BAB4" w14:textId="6B43EC70" w:rsidR="00A317B9" w:rsidRDefault="00A317B9" w:rsidP="00A317B9">
      <w:r>
        <w:t>No</w:t>
      </w:r>
      <w:r w:rsidR="00831A06">
        <w:t>.</w:t>
      </w:r>
    </w:p>
    <w:p w14:paraId="557449BB" w14:textId="1C01CADC" w:rsidR="00A317B9" w:rsidRDefault="00A317B9" w:rsidP="00A317B9">
      <w:r>
        <w:t>We note that the draft communications requirements, and in particular the requirements around requiring regular member feedback and reporting on it, go well beyond what is required for any other type of scheme. It is clearly essential that members of CDC schemes understand the nature of the benefits, and the possibility of benefit reductions. However, the extent of member feedback proposed, and its frequency, go well beyond what we think is necessary to get across this simple message. We also have concerns that it will not be workable or practical to implement.</w:t>
      </w:r>
    </w:p>
    <w:p w14:paraId="693D6991" w14:textId="77777777" w:rsidR="00A317B9" w:rsidRDefault="00A317B9" w:rsidP="00A317B9">
      <w:r>
        <w:t>We suggest instead that the feedback requirements are more specifically focussed on key member communications, and that requirements to seek and report on such feedback are much less frequent, Perhaps within the first 12 months of the operation of the scheme, and then only every 3 years or so.</w:t>
      </w:r>
    </w:p>
    <w:p w14:paraId="7120C30A" w14:textId="56C17076" w:rsidR="004F4427" w:rsidRPr="004F4427" w:rsidRDefault="004F4427" w:rsidP="00912AA6">
      <w:pPr>
        <w:spacing w:after="0" w:line="250" w:lineRule="exact"/>
        <w:rPr>
          <w:rFonts w:cs="Arial"/>
          <w:b/>
          <w:bCs/>
        </w:rPr>
      </w:pPr>
      <w:r w:rsidRPr="004F4427">
        <w:rPr>
          <w:rFonts w:cs="Arial"/>
          <w:b/>
          <w:bCs/>
        </w:rPr>
        <w:t>Scheme design</w:t>
      </w:r>
      <w:r>
        <w:rPr>
          <w:rFonts w:cs="Arial"/>
          <w:b/>
          <w:bCs/>
        </w:rPr>
        <w:t>:</w:t>
      </w:r>
    </w:p>
    <w:p w14:paraId="164E7DAB" w14:textId="77777777" w:rsidR="004F4427" w:rsidRDefault="004F4427" w:rsidP="00912AA6">
      <w:pPr>
        <w:spacing w:after="0" w:line="250" w:lineRule="exact"/>
        <w:rPr>
          <w:rFonts w:cs="Arial"/>
        </w:rPr>
      </w:pPr>
    </w:p>
    <w:p w14:paraId="0370BB98" w14:textId="76B753A4" w:rsidR="00840D0C" w:rsidRDefault="00840D0C" w:rsidP="00F65F22">
      <w:pPr>
        <w:spacing w:after="0" w:line="250" w:lineRule="exact"/>
        <w:ind w:left="426" w:hanging="426"/>
        <w:rPr>
          <w:rFonts w:cs="Arial"/>
          <w:b/>
          <w:bCs/>
        </w:rPr>
      </w:pPr>
      <w:r w:rsidRPr="00F65F22">
        <w:rPr>
          <w:rFonts w:cs="Arial"/>
          <w:b/>
          <w:bCs/>
        </w:rPr>
        <w:t>21.</w:t>
      </w:r>
      <w:r w:rsidRPr="00F65F22">
        <w:rPr>
          <w:rFonts w:cs="Arial"/>
          <w:b/>
          <w:bCs/>
        </w:rPr>
        <w:tab/>
        <w:t>Is the level of detail we have set out appropriate and are there further matters we should consider?</w:t>
      </w:r>
    </w:p>
    <w:p w14:paraId="7210A845" w14:textId="1C75FF91" w:rsidR="00A848BE" w:rsidRDefault="00A848BE" w:rsidP="00F65F22">
      <w:pPr>
        <w:spacing w:after="0" w:line="250" w:lineRule="exact"/>
        <w:ind w:left="426" w:hanging="426"/>
        <w:rPr>
          <w:rFonts w:cs="Arial"/>
        </w:rPr>
      </w:pPr>
    </w:p>
    <w:p w14:paraId="558E6B60" w14:textId="77777777" w:rsidR="00075949" w:rsidRDefault="00C82A4D" w:rsidP="00032E3A">
      <w:pPr>
        <w:spacing w:after="0" w:line="250" w:lineRule="exact"/>
        <w:rPr>
          <w:rFonts w:cs="Arial"/>
        </w:rPr>
      </w:pPr>
      <w:r>
        <w:rPr>
          <w:rFonts w:cs="Arial"/>
        </w:rPr>
        <w:lastRenderedPageBreak/>
        <w:t xml:space="preserve">Yes </w:t>
      </w:r>
    </w:p>
    <w:p w14:paraId="27BFF665" w14:textId="77777777" w:rsidR="00075949" w:rsidRDefault="00075949" w:rsidP="00032E3A">
      <w:pPr>
        <w:spacing w:after="0" w:line="250" w:lineRule="exact"/>
        <w:rPr>
          <w:rFonts w:cs="Arial"/>
        </w:rPr>
      </w:pPr>
    </w:p>
    <w:p w14:paraId="366EEB37" w14:textId="153F6EDA" w:rsidR="00C82A4D" w:rsidRDefault="00075949" w:rsidP="00032E3A">
      <w:pPr>
        <w:spacing w:after="0" w:line="250" w:lineRule="exact"/>
        <w:rPr>
          <w:rFonts w:cs="Arial"/>
        </w:rPr>
      </w:pPr>
      <w:r>
        <w:rPr>
          <w:rFonts w:cs="Arial"/>
        </w:rPr>
        <w:t xml:space="preserve">We think </w:t>
      </w:r>
      <w:r w:rsidR="00C82A4D">
        <w:rPr>
          <w:rFonts w:cs="Arial"/>
        </w:rPr>
        <w:t xml:space="preserve">the level of detail is </w:t>
      </w:r>
      <w:r w:rsidR="00C25047">
        <w:rPr>
          <w:rFonts w:cs="Arial"/>
        </w:rPr>
        <w:t>appropriate</w:t>
      </w:r>
      <w:r w:rsidR="00C82A4D">
        <w:rPr>
          <w:rFonts w:cs="Arial"/>
        </w:rPr>
        <w:t>.</w:t>
      </w:r>
    </w:p>
    <w:p w14:paraId="05686F69" w14:textId="77777777" w:rsidR="00C82A4D" w:rsidRDefault="00C82A4D" w:rsidP="00032E3A">
      <w:pPr>
        <w:spacing w:after="0" w:line="250" w:lineRule="exact"/>
        <w:rPr>
          <w:rFonts w:cs="Arial"/>
        </w:rPr>
      </w:pPr>
    </w:p>
    <w:p w14:paraId="75DA2F32" w14:textId="4435997E" w:rsidR="00204F58" w:rsidRDefault="00F34929" w:rsidP="00032E3A">
      <w:pPr>
        <w:spacing w:after="0" w:line="250" w:lineRule="exact"/>
        <w:rPr>
          <w:rFonts w:cs="Arial"/>
        </w:rPr>
      </w:pPr>
      <w:r>
        <w:rPr>
          <w:rFonts w:cs="Arial"/>
        </w:rPr>
        <w:t xml:space="preserve">The </w:t>
      </w:r>
      <w:r w:rsidR="00930004">
        <w:rPr>
          <w:rFonts w:cs="Arial"/>
        </w:rPr>
        <w:t>t</w:t>
      </w:r>
      <w:r>
        <w:rPr>
          <w:rFonts w:cs="Arial"/>
        </w:rPr>
        <w:t>rustees and Scheme Actuary will each need to opine on whether the scheme design is sound</w:t>
      </w:r>
      <w:r w:rsidR="00B40A9B">
        <w:rPr>
          <w:rFonts w:cs="Arial"/>
        </w:rPr>
        <w:t xml:space="preserve">, and the </w:t>
      </w:r>
      <w:r w:rsidR="00E9724A">
        <w:rPr>
          <w:rFonts w:cs="Arial"/>
        </w:rPr>
        <w:t xml:space="preserve">Regulator </w:t>
      </w:r>
      <w:r w:rsidR="00B40A9B">
        <w:rPr>
          <w:rFonts w:cs="Arial"/>
        </w:rPr>
        <w:t xml:space="preserve">will also need to assess this for </w:t>
      </w:r>
      <w:r w:rsidR="00D94224">
        <w:rPr>
          <w:rFonts w:cs="Arial"/>
        </w:rPr>
        <w:t>authorisation</w:t>
      </w:r>
      <w:r w:rsidR="00B40A9B">
        <w:rPr>
          <w:rFonts w:cs="Arial"/>
        </w:rPr>
        <w:t xml:space="preserve"> </w:t>
      </w:r>
      <w:r w:rsidR="00D94224">
        <w:rPr>
          <w:rFonts w:cs="Arial"/>
        </w:rPr>
        <w:t>purposes</w:t>
      </w:r>
      <w:r>
        <w:rPr>
          <w:rFonts w:cs="Arial"/>
        </w:rPr>
        <w:t xml:space="preserve">.  </w:t>
      </w:r>
      <w:r w:rsidR="00204F58">
        <w:rPr>
          <w:rFonts w:cs="Arial"/>
        </w:rPr>
        <w:t xml:space="preserve">We note that the regulations and draft Code do not </w:t>
      </w:r>
      <w:r w:rsidR="00D56402">
        <w:rPr>
          <w:rFonts w:cs="Arial"/>
        </w:rPr>
        <w:t xml:space="preserve">specifically </w:t>
      </w:r>
      <w:r w:rsidR="00204F58">
        <w:rPr>
          <w:rFonts w:cs="Arial"/>
        </w:rPr>
        <w:t>define “soundness”</w:t>
      </w:r>
      <w:r w:rsidR="00B63CE9">
        <w:rPr>
          <w:rFonts w:cs="Arial"/>
        </w:rPr>
        <w:t xml:space="preserve">, although they do list for each party matters which </w:t>
      </w:r>
      <w:r w:rsidR="00884ED1">
        <w:rPr>
          <w:rFonts w:cs="Arial"/>
        </w:rPr>
        <w:t>must be taken into account for their assessment</w:t>
      </w:r>
      <w:r w:rsidR="00032E3A">
        <w:rPr>
          <w:rFonts w:cs="Arial"/>
        </w:rPr>
        <w:t xml:space="preserve">.  </w:t>
      </w:r>
      <w:r w:rsidR="00884ED1">
        <w:rPr>
          <w:rFonts w:cs="Arial"/>
        </w:rPr>
        <w:t>For the Scheme Actuary, t</w:t>
      </w:r>
      <w:r w:rsidR="0013013A">
        <w:rPr>
          <w:rFonts w:cs="Arial"/>
        </w:rPr>
        <w:t xml:space="preserve">he regulations list in 11(2) </w:t>
      </w:r>
      <w:r w:rsidR="003B477A">
        <w:rPr>
          <w:rFonts w:cs="Arial"/>
        </w:rPr>
        <w:t xml:space="preserve">four </w:t>
      </w:r>
      <w:r w:rsidR="0013013A">
        <w:rPr>
          <w:rFonts w:cs="Arial"/>
        </w:rPr>
        <w:t xml:space="preserve">matters </w:t>
      </w:r>
      <w:r w:rsidR="003B477A">
        <w:rPr>
          <w:rFonts w:cs="Arial"/>
        </w:rPr>
        <w:t xml:space="preserve">to which the </w:t>
      </w:r>
      <w:r w:rsidR="004B2BA1">
        <w:rPr>
          <w:rFonts w:cs="Arial"/>
        </w:rPr>
        <w:t xml:space="preserve">assessment will need to have regard, but there are likely to be other relevant matters and so </w:t>
      </w:r>
      <w:r w:rsidR="000F48B8">
        <w:rPr>
          <w:rFonts w:cs="Arial"/>
        </w:rPr>
        <w:t xml:space="preserve">our understanding is that </w:t>
      </w:r>
      <w:r w:rsidR="004B2BA1">
        <w:rPr>
          <w:rFonts w:cs="Arial"/>
        </w:rPr>
        <w:t xml:space="preserve">the list is not </w:t>
      </w:r>
      <w:r w:rsidR="000F48B8">
        <w:rPr>
          <w:rFonts w:cs="Arial"/>
        </w:rPr>
        <w:t xml:space="preserve">intended to be </w:t>
      </w:r>
      <w:r w:rsidR="004B2BA1">
        <w:rPr>
          <w:rFonts w:cs="Arial"/>
        </w:rPr>
        <w:t xml:space="preserve">exhaustive.  </w:t>
      </w:r>
      <w:r>
        <w:rPr>
          <w:rFonts w:cs="Arial"/>
        </w:rPr>
        <w:t>W</w:t>
      </w:r>
      <w:r w:rsidR="00032E3A">
        <w:rPr>
          <w:rFonts w:cs="Arial"/>
        </w:rPr>
        <w:t xml:space="preserve">e see this </w:t>
      </w:r>
      <w:r>
        <w:rPr>
          <w:rFonts w:cs="Arial"/>
        </w:rPr>
        <w:t xml:space="preserve">assessment </w:t>
      </w:r>
      <w:r w:rsidR="00032E3A">
        <w:rPr>
          <w:rFonts w:cs="Arial"/>
        </w:rPr>
        <w:t xml:space="preserve">as a subjective judgement which will need to </w:t>
      </w:r>
      <w:r w:rsidR="008D5E7E">
        <w:rPr>
          <w:rFonts w:cs="Arial"/>
        </w:rPr>
        <w:t xml:space="preserve">take into account the particular circumstances at the time, including expected trends affecting future benefit adjustments. </w:t>
      </w:r>
      <w:r w:rsidR="00715D3D">
        <w:rPr>
          <w:rFonts w:cs="Arial"/>
        </w:rPr>
        <w:t xml:space="preserve"> </w:t>
      </w:r>
      <w:r w:rsidR="00565FFD">
        <w:t xml:space="preserve">As these opinions on soundness </w:t>
      </w:r>
      <w:r w:rsidR="0005404F">
        <w:t xml:space="preserve">dictate whether the scheme can open and then remain open, </w:t>
      </w:r>
      <w:r w:rsidR="00A4146F">
        <w:rPr>
          <w:rFonts w:cs="Arial"/>
        </w:rPr>
        <w:t xml:space="preserve">it </w:t>
      </w:r>
      <w:r w:rsidR="00E9724A">
        <w:rPr>
          <w:rFonts w:cs="Arial"/>
        </w:rPr>
        <w:t xml:space="preserve">seems to us </w:t>
      </w:r>
      <w:r w:rsidR="00930004">
        <w:rPr>
          <w:rFonts w:cs="Arial"/>
        </w:rPr>
        <w:t>essential</w:t>
      </w:r>
      <w:r w:rsidR="005813CF">
        <w:rPr>
          <w:rFonts w:cs="Arial"/>
        </w:rPr>
        <w:t xml:space="preserve"> to </w:t>
      </w:r>
      <w:r w:rsidR="00831A06">
        <w:rPr>
          <w:rFonts w:cs="Arial"/>
        </w:rPr>
        <w:t>have</w:t>
      </w:r>
      <w:r w:rsidR="005813CF">
        <w:rPr>
          <w:rFonts w:cs="Arial"/>
        </w:rPr>
        <w:t xml:space="preserve"> some clarity on</w:t>
      </w:r>
      <w:r w:rsidR="00A4146F">
        <w:rPr>
          <w:rFonts w:cs="Arial"/>
        </w:rPr>
        <w:t xml:space="preserve"> what this opinion does and doesn’t mean, and </w:t>
      </w:r>
      <w:r w:rsidR="0005404F">
        <w:rPr>
          <w:rFonts w:cs="Arial"/>
        </w:rPr>
        <w:t xml:space="preserve">for the Scheme Actuary’s certificate </w:t>
      </w:r>
      <w:r w:rsidR="00A4146F">
        <w:rPr>
          <w:rFonts w:cs="Arial"/>
        </w:rPr>
        <w:t xml:space="preserve">we comment further on that in Q27 below. </w:t>
      </w:r>
    </w:p>
    <w:p w14:paraId="4FC4D475" w14:textId="4D177A20" w:rsidR="007927A1" w:rsidRDefault="007927A1" w:rsidP="00032E3A">
      <w:pPr>
        <w:spacing w:after="0" w:line="250" w:lineRule="exact"/>
        <w:rPr>
          <w:rFonts w:cs="Arial"/>
        </w:rPr>
      </w:pPr>
    </w:p>
    <w:p w14:paraId="18B50481" w14:textId="0BFD193A" w:rsidR="007927A1" w:rsidRDefault="007927A1" w:rsidP="00032E3A">
      <w:pPr>
        <w:spacing w:after="0" w:line="250" w:lineRule="exact"/>
        <w:rPr>
          <w:rFonts w:cs="Arial"/>
        </w:rPr>
      </w:pPr>
      <w:r>
        <w:rPr>
          <w:rFonts w:cs="Arial"/>
        </w:rPr>
        <w:t xml:space="preserve">The implication is that the scheme is by definition “sound” if each of the three parties have reached this opinion having taken into account the matters listed in the regulations.  </w:t>
      </w:r>
      <w:r w:rsidR="00D454D5">
        <w:rPr>
          <w:rFonts w:cs="Arial"/>
        </w:rPr>
        <w:t>It would be helpful if the Code states this explicitly.</w:t>
      </w:r>
    </w:p>
    <w:p w14:paraId="7B5CA7AF" w14:textId="23E2050C" w:rsidR="00394DCB" w:rsidRDefault="00394DCB" w:rsidP="00032E3A">
      <w:pPr>
        <w:spacing w:after="0" w:line="250" w:lineRule="exact"/>
        <w:rPr>
          <w:rFonts w:cs="Arial"/>
        </w:rPr>
      </w:pPr>
    </w:p>
    <w:p w14:paraId="25358BB3" w14:textId="70AAD3BD" w:rsidR="00394DCB" w:rsidRDefault="00394DCB" w:rsidP="00032E3A">
      <w:pPr>
        <w:spacing w:after="0" w:line="250" w:lineRule="exact"/>
        <w:rPr>
          <w:rFonts w:cs="Arial"/>
        </w:rPr>
      </w:pPr>
      <w:r>
        <w:rPr>
          <w:rFonts w:cs="Arial"/>
        </w:rPr>
        <w:t xml:space="preserve">Also, we note that the trustees’ consideration of viability, as recorded in their viability report, will be based in part on advice from the scheme actuary under regulation 10(3)(b).  However it is important that the </w:t>
      </w:r>
      <w:r w:rsidR="00930004">
        <w:rPr>
          <w:rFonts w:cs="Arial"/>
        </w:rPr>
        <w:t>t</w:t>
      </w:r>
      <w:r>
        <w:rPr>
          <w:rFonts w:cs="Arial"/>
        </w:rPr>
        <w:t xml:space="preserve">rustees </w:t>
      </w:r>
      <w:r w:rsidR="00587739">
        <w:rPr>
          <w:rFonts w:cs="Arial"/>
        </w:rPr>
        <w:t>understand that they must</w:t>
      </w:r>
      <w:r>
        <w:rPr>
          <w:rFonts w:cs="Arial"/>
        </w:rPr>
        <w:t xml:space="preserve"> reach their own view on this matter, taking into account </w:t>
      </w:r>
      <w:r w:rsidR="00881394">
        <w:rPr>
          <w:rFonts w:cs="Arial"/>
        </w:rPr>
        <w:t>(“being informed by”)</w:t>
      </w:r>
      <w:r>
        <w:rPr>
          <w:rFonts w:cs="Arial"/>
        </w:rPr>
        <w:t xml:space="preserve"> actuarial advice, rather than relying solely on the scheme actuary’s views.  The Code could </w:t>
      </w:r>
      <w:r w:rsidR="00587739">
        <w:rPr>
          <w:rFonts w:cs="Arial"/>
        </w:rPr>
        <w:t>usefully address this point specifically to minimise the risk of the trustees deferring to the Scheme Actuary’s opinion</w:t>
      </w:r>
      <w:r w:rsidR="00BE7AC5">
        <w:rPr>
          <w:rFonts w:cs="Arial"/>
        </w:rPr>
        <w:t xml:space="preserve">.  </w:t>
      </w:r>
    </w:p>
    <w:p w14:paraId="43A57389" w14:textId="3D4E320D" w:rsidR="00860DD0" w:rsidRDefault="00860DD0" w:rsidP="00032E3A">
      <w:pPr>
        <w:spacing w:after="0" w:line="250" w:lineRule="exact"/>
        <w:rPr>
          <w:rFonts w:cs="Arial"/>
        </w:rPr>
      </w:pPr>
    </w:p>
    <w:p w14:paraId="1F384CD8" w14:textId="12825000" w:rsidR="00D47ED5" w:rsidRDefault="008F6CE6" w:rsidP="00032E3A">
      <w:pPr>
        <w:spacing w:after="0" w:line="250" w:lineRule="exact"/>
        <w:rPr>
          <w:rFonts w:cs="Arial"/>
        </w:rPr>
      </w:pPr>
      <w:r>
        <w:rPr>
          <w:rFonts w:cs="Arial"/>
        </w:rPr>
        <w:t>Under the regulations, t</w:t>
      </w:r>
      <w:r w:rsidR="00860DD0" w:rsidRPr="00860DD0">
        <w:rPr>
          <w:rFonts w:cs="Arial"/>
        </w:rPr>
        <w:t xml:space="preserve">he viability certificate requires the </w:t>
      </w:r>
      <w:r w:rsidR="00587739">
        <w:rPr>
          <w:rFonts w:cs="Arial"/>
        </w:rPr>
        <w:t>S</w:t>
      </w:r>
      <w:r w:rsidR="00860DD0" w:rsidRPr="00860DD0">
        <w:rPr>
          <w:rFonts w:cs="Arial"/>
        </w:rPr>
        <w:t xml:space="preserve">cheme </w:t>
      </w:r>
      <w:r w:rsidR="00587739">
        <w:rPr>
          <w:rFonts w:cs="Arial"/>
        </w:rPr>
        <w:t>A</w:t>
      </w:r>
      <w:r w:rsidR="00860DD0" w:rsidRPr="00860DD0">
        <w:rPr>
          <w:rFonts w:cs="Arial"/>
        </w:rPr>
        <w:t>ctuary to comment on the accuracy of specific aspects of member communication</w:t>
      </w:r>
      <w:r w:rsidR="005F340A">
        <w:rPr>
          <w:rFonts w:cs="Arial"/>
        </w:rPr>
        <w:t>s</w:t>
      </w:r>
      <w:r w:rsidR="00860DD0" w:rsidRPr="00860DD0">
        <w:rPr>
          <w:rFonts w:cs="Arial"/>
        </w:rPr>
        <w:t xml:space="preserve">’. However, </w:t>
      </w:r>
      <w:r>
        <w:rPr>
          <w:rFonts w:cs="Arial"/>
        </w:rPr>
        <w:t xml:space="preserve">the </w:t>
      </w:r>
      <w:r w:rsidR="00A41ECA">
        <w:rPr>
          <w:rFonts w:cs="Arial"/>
        </w:rPr>
        <w:t xml:space="preserve">draft Code </w:t>
      </w:r>
      <w:r>
        <w:rPr>
          <w:rFonts w:cs="Arial"/>
        </w:rPr>
        <w:t xml:space="preserve">references </w:t>
      </w:r>
      <w:r w:rsidR="00860DD0" w:rsidRPr="00860DD0">
        <w:rPr>
          <w:rFonts w:cs="Arial"/>
        </w:rPr>
        <w:t>“their communications to members” and “generic communications and templates”</w:t>
      </w:r>
      <w:r>
        <w:rPr>
          <w:rFonts w:cs="Arial"/>
        </w:rPr>
        <w:t xml:space="preserve"> are too generic</w:t>
      </w:r>
      <w:r w:rsidR="00860DD0" w:rsidRPr="00860DD0">
        <w:rPr>
          <w:rFonts w:cs="Arial"/>
        </w:rPr>
        <w:t xml:space="preserve">. </w:t>
      </w:r>
      <w:r>
        <w:rPr>
          <w:rFonts w:cs="Arial"/>
        </w:rPr>
        <w:t>We suggest you provide clarity on whether you expect the scheme actuary to review any more than is already set out in the regulations. In our view, this is not necessary.</w:t>
      </w:r>
    </w:p>
    <w:p w14:paraId="735763B8" w14:textId="77777777" w:rsidR="00D47ED5" w:rsidRPr="00A848BE" w:rsidRDefault="00D47ED5" w:rsidP="00032E3A">
      <w:pPr>
        <w:spacing w:after="0" w:line="250" w:lineRule="exact"/>
        <w:rPr>
          <w:rFonts w:cs="Arial"/>
        </w:rPr>
      </w:pPr>
    </w:p>
    <w:p w14:paraId="1385CAA2" w14:textId="0EBB7462" w:rsidR="00A93368" w:rsidRPr="00F65F22" w:rsidRDefault="00A93368" w:rsidP="00F65F22">
      <w:pPr>
        <w:spacing w:after="0" w:line="250" w:lineRule="exact"/>
        <w:ind w:left="426" w:hanging="426"/>
        <w:rPr>
          <w:rFonts w:cs="Arial"/>
          <w:b/>
          <w:bCs/>
        </w:rPr>
      </w:pPr>
    </w:p>
    <w:p w14:paraId="486C8AAC" w14:textId="46A69F4B" w:rsidR="00A93368" w:rsidRDefault="00A93368" w:rsidP="00F65F22">
      <w:pPr>
        <w:spacing w:after="0" w:line="250" w:lineRule="exact"/>
        <w:ind w:left="426" w:hanging="426"/>
        <w:rPr>
          <w:rFonts w:cs="Arial"/>
          <w:b/>
          <w:bCs/>
        </w:rPr>
      </w:pPr>
      <w:r w:rsidRPr="00F65F22">
        <w:rPr>
          <w:rFonts w:cs="Arial"/>
          <w:b/>
          <w:bCs/>
        </w:rPr>
        <w:t>22.</w:t>
      </w:r>
      <w:r w:rsidRPr="00F65F22">
        <w:rPr>
          <w:rFonts w:cs="Arial"/>
          <w:b/>
          <w:bCs/>
        </w:rPr>
        <w:tab/>
        <w:t>Are there areas where supporting guidance would be useful?</w:t>
      </w:r>
    </w:p>
    <w:p w14:paraId="0139E1BB" w14:textId="2495827A" w:rsidR="00A848BE" w:rsidRDefault="00A848BE" w:rsidP="00F65F22">
      <w:pPr>
        <w:spacing w:after="0" w:line="250" w:lineRule="exact"/>
        <w:ind w:left="426" w:hanging="426"/>
        <w:rPr>
          <w:rFonts w:cs="Arial"/>
          <w:b/>
          <w:bCs/>
        </w:rPr>
      </w:pPr>
    </w:p>
    <w:p w14:paraId="6FB4B06B" w14:textId="77777777" w:rsidR="00075949" w:rsidRDefault="00075949" w:rsidP="00371AA8">
      <w:pPr>
        <w:spacing w:after="0" w:line="250" w:lineRule="exact"/>
        <w:rPr>
          <w:rFonts w:cs="Arial"/>
        </w:rPr>
      </w:pPr>
      <w:r>
        <w:rPr>
          <w:rFonts w:cs="Arial"/>
        </w:rPr>
        <w:t>No</w:t>
      </w:r>
    </w:p>
    <w:p w14:paraId="2E6423CA" w14:textId="77777777" w:rsidR="00075949" w:rsidRDefault="00075949" w:rsidP="00371AA8">
      <w:pPr>
        <w:spacing w:after="0" w:line="250" w:lineRule="exact"/>
        <w:rPr>
          <w:rFonts w:cs="Arial"/>
        </w:rPr>
      </w:pPr>
    </w:p>
    <w:p w14:paraId="42A5EC0B" w14:textId="01E0F6AE" w:rsidR="00AE71C6" w:rsidRDefault="00AE71C6" w:rsidP="00371AA8">
      <w:pPr>
        <w:spacing w:after="0" w:line="250" w:lineRule="exact"/>
        <w:rPr>
          <w:rFonts w:cs="Arial"/>
        </w:rPr>
      </w:pPr>
      <w:r>
        <w:rPr>
          <w:rFonts w:cs="Arial"/>
        </w:rPr>
        <w:t>We note that the Pension Scheme</w:t>
      </w:r>
      <w:r w:rsidR="00283F19">
        <w:rPr>
          <w:rFonts w:cs="Arial"/>
        </w:rPr>
        <w:t>s</w:t>
      </w:r>
      <w:r>
        <w:rPr>
          <w:rFonts w:cs="Arial"/>
        </w:rPr>
        <w:t xml:space="preserve"> Act 2021 </w:t>
      </w:r>
      <w:r w:rsidR="0039783F">
        <w:rPr>
          <w:rFonts w:cs="Arial"/>
        </w:rPr>
        <w:t xml:space="preserve">section </w:t>
      </w:r>
      <w:r w:rsidR="000B7733">
        <w:rPr>
          <w:rFonts w:cs="Arial"/>
        </w:rPr>
        <w:t xml:space="preserve">19(2) and regulation </w:t>
      </w:r>
      <w:r w:rsidR="00843778">
        <w:rPr>
          <w:rFonts w:cs="Arial"/>
        </w:rPr>
        <w:t xml:space="preserve">18 require the Scheme Actuary to have regard to </w:t>
      </w:r>
      <w:r w:rsidR="00422E00">
        <w:rPr>
          <w:rFonts w:cs="Arial"/>
        </w:rPr>
        <w:t xml:space="preserve">any </w:t>
      </w:r>
      <w:r w:rsidR="005570C3">
        <w:rPr>
          <w:rFonts w:cs="Arial"/>
        </w:rPr>
        <w:t xml:space="preserve">guidance </w:t>
      </w:r>
      <w:r w:rsidR="00422E00">
        <w:rPr>
          <w:rFonts w:cs="Arial"/>
        </w:rPr>
        <w:t xml:space="preserve">issued by </w:t>
      </w:r>
      <w:r w:rsidR="00B36049">
        <w:rPr>
          <w:rFonts w:cs="Arial"/>
        </w:rPr>
        <w:t>the</w:t>
      </w:r>
      <w:r w:rsidR="00422E00">
        <w:rPr>
          <w:rFonts w:cs="Arial"/>
        </w:rPr>
        <w:t xml:space="preserve"> </w:t>
      </w:r>
      <w:proofErr w:type="spellStart"/>
      <w:r w:rsidR="00422E00">
        <w:rPr>
          <w:rFonts w:cs="Arial"/>
        </w:rPr>
        <w:t>IFoA</w:t>
      </w:r>
      <w:proofErr w:type="spellEnd"/>
      <w:r w:rsidR="00422E00">
        <w:rPr>
          <w:rFonts w:cs="Arial"/>
        </w:rPr>
        <w:t xml:space="preserve"> or the Regulator, when advising on </w:t>
      </w:r>
      <w:r w:rsidR="00B11613">
        <w:rPr>
          <w:rFonts w:cs="Arial"/>
        </w:rPr>
        <w:t xml:space="preserve">the determination of benefit adjustments.  </w:t>
      </w:r>
      <w:r w:rsidR="007E4A0F">
        <w:rPr>
          <w:rFonts w:cs="Arial"/>
        </w:rPr>
        <w:t xml:space="preserve">We note that the regulations </w:t>
      </w:r>
      <w:r w:rsidR="001166F6">
        <w:rPr>
          <w:rFonts w:cs="Arial"/>
        </w:rPr>
        <w:t xml:space="preserve">set out in some detail how benefit adjustments are to be determined, including the required use of “central estimate” assumptions for determining </w:t>
      </w:r>
      <w:r w:rsidR="00727A03">
        <w:rPr>
          <w:rFonts w:cs="Arial"/>
        </w:rPr>
        <w:t xml:space="preserve">the “required amount”, and </w:t>
      </w:r>
      <w:r w:rsidR="00FB7D37">
        <w:rPr>
          <w:rFonts w:cs="Arial"/>
        </w:rPr>
        <w:t xml:space="preserve">at this time we do not consider that guidance is </w:t>
      </w:r>
      <w:r w:rsidR="00283F19">
        <w:rPr>
          <w:rFonts w:cs="Arial"/>
        </w:rPr>
        <w:t xml:space="preserve">also </w:t>
      </w:r>
      <w:r w:rsidR="00FB7D37">
        <w:rPr>
          <w:rFonts w:cs="Arial"/>
        </w:rPr>
        <w:t>required in this area.</w:t>
      </w:r>
    </w:p>
    <w:p w14:paraId="4E11278B" w14:textId="0326D119" w:rsidR="00FB7D37" w:rsidRDefault="00FB7D37" w:rsidP="00371AA8">
      <w:pPr>
        <w:spacing w:after="0" w:line="250" w:lineRule="exact"/>
        <w:rPr>
          <w:rFonts w:cs="Arial"/>
        </w:rPr>
      </w:pPr>
    </w:p>
    <w:p w14:paraId="774563E7" w14:textId="77777777" w:rsidR="005E742A" w:rsidRDefault="005E742A" w:rsidP="00371AA8">
      <w:pPr>
        <w:spacing w:after="0" w:line="250" w:lineRule="exact"/>
        <w:rPr>
          <w:rFonts w:cs="Arial"/>
        </w:rPr>
      </w:pPr>
    </w:p>
    <w:p w14:paraId="03305825" w14:textId="7EAC3C40" w:rsidR="00FB7D37" w:rsidRPr="00371AA8" w:rsidRDefault="005E742A" w:rsidP="00371AA8">
      <w:pPr>
        <w:spacing w:after="0" w:line="250" w:lineRule="exact"/>
        <w:rPr>
          <w:rFonts w:cs="Arial"/>
        </w:rPr>
      </w:pPr>
      <w:r>
        <w:rPr>
          <w:rFonts w:cs="Arial"/>
        </w:rPr>
        <w:t>T</w:t>
      </w:r>
      <w:r w:rsidR="00FB7D37">
        <w:rPr>
          <w:rFonts w:cs="Arial"/>
        </w:rPr>
        <w:t xml:space="preserve">here are potentially other areas where guidance could be helpful, for example in scheme design viability soundness assessments, or member option terms (if not included in the Code itself as we suggest under 1 above), and </w:t>
      </w:r>
      <w:r w:rsidR="00DD57BC">
        <w:rPr>
          <w:rFonts w:cs="Arial"/>
        </w:rPr>
        <w:t>we continue to actively consider this and would want to collaborate with the Regulator on this to ensure any guidance issued by the two bodies is complementary.</w:t>
      </w:r>
    </w:p>
    <w:p w14:paraId="08F8F81A" w14:textId="5252C154" w:rsidR="004B1349" w:rsidRPr="00F65F22" w:rsidRDefault="004B1349" w:rsidP="00F65F22">
      <w:pPr>
        <w:spacing w:after="0" w:line="250" w:lineRule="exact"/>
        <w:ind w:left="426" w:hanging="426"/>
        <w:rPr>
          <w:rFonts w:cs="Arial"/>
          <w:b/>
          <w:bCs/>
        </w:rPr>
      </w:pPr>
    </w:p>
    <w:p w14:paraId="4BCFA315" w14:textId="2739AE37" w:rsidR="004B1349" w:rsidRDefault="004B1349" w:rsidP="00F65F22">
      <w:pPr>
        <w:spacing w:after="0" w:line="250" w:lineRule="exact"/>
        <w:ind w:left="426" w:hanging="426"/>
        <w:rPr>
          <w:rFonts w:cs="Arial"/>
          <w:b/>
          <w:bCs/>
        </w:rPr>
      </w:pPr>
      <w:r w:rsidRPr="00F65F22">
        <w:rPr>
          <w:rFonts w:cs="Arial"/>
          <w:b/>
          <w:bCs/>
        </w:rPr>
        <w:t>23.</w:t>
      </w:r>
      <w:r w:rsidRPr="00F65F22">
        <w:rPr>
          <w:rFonts w:cs="Arial"/>
          <w:b/>
          <w:bCs/>
        </w:rPr>
        <w:tab/>
        <w:t>Is it clear what we expect with regard to testing and modelling, and are there any additional issues or factors which could be relevant?</w:t>
      </w:r>
    </w:p>
    <w:p w14:paraId="6ADD4071" w14:textId="44FE2A0C" w:rsidR="00A848BE" w:rsidRDefault="00A848BE" w:rsidP="00F65F22">
      <w:pPr>
        <w:spacing w:after="0" w:line="250" w:lineRule="exact"/>
        <w:ind w:left="426" w:hanging="426"/>
        <w:rPr>
          <w:rFonts w:cs="Arial"/>
          <w:b/>
          <w:bCs/>
        </w:rPr>
      </w:pPr>
    </w:p>
    <w:p w14:paraId="6734B3E1" w14:textId="77777777" w:rsidR="00075949" w:rsidRDefault="00075949" w:rsidP="000A062E">
      <w:pPr>
        <w:spacing w:after="0" w:line="250" w:lineRule="exact"/>
      </w:pPr>
      <w:r>
        <w:t>No</w:t>
      </w:r>
    </w:p>
    <w:p w14:paraId="6756BB2B" w14:textId="77777777" w:rsidR="00075949" w:rsidRDefault="00075949" w:rsidP="000A062E">
      <w:pPr>
        <w:spacing w:after="0" w:line="250" w:lineRule="exact"/>
      </w:pPr>
    </w:p>
    <w:p w14:paraId="659FDB4F" w14:textId="7C1AF45F" w:rsidR="00A848BE" w:rsidRDefault="00D97D36" w:rsidP="000A062E">
      <w:pPr>
        <w:spacing w:after="0" w:line="250" w:lineRule="exact"/>
      </w:pPr>
      <w:r>
        <w:t>We find one term unclear, “</w:t>
      </w:r>
      <w:r w:rsidRPr="007740BE">
        <w:t>an examination of the key risks to the scheme’s design</w:t>
      </w:r>
      <w:r>
        <w:t xml:space="preserve">”.  We consider that the scheme’s design is as set out in its rules, but that it is changes in circumstances that could make that design </w:t>
      </w:r>
      <w:r>
        <w:lastRenderedPageBreak/>
        <w:t xml:space="preserve">inappropriate.  </w:t>
      </w:r>
      <w:r w:rsidR="00D41137">
        <w:t>Therefore we suggest referring to</w:t>
      </w:r>
      <w:r>
        <w:t xml:space="preserve"> “</w:t>
      </w:r>
      <w:r w:rsidRPr="007740BE">
        <w:t xml:space="preserve">an examination of the </w:t>
      </w:r>
      <w:r>
        <w:t xml:space="preserve">main circumstances in which </w:t>
      </w:r>
      <w:r w:rsidRPr="007740BE">
        <w:t>the scheme’s design</w:t>
      </w:r>
      <w:r>
        <w:t xml:space="preserve"> might no longer be sound”</w:t>
      </w:r>
      <w:r w:rsidR="00D41137">
        <w:t>.</w:t>
      </w:r>
    </w:p>
    <w:p w14:paraId="47D2AFFD" w14:textId="78B646A3" w:rsidR="009F0E1A" w:rsidRDefault="009F0E1A" w:rsidP="000A062E">
      <w:pPr>
        <w:spacing w:after="0" w:line="250" w:lineRule="exact"/>
      </w:pPr>
    </w:p>
    <w:p w14:paraId="03C0D13B" w14:textId="311DD626" w:rsidR="009F0E1A" w:rsidRPr="000A062E" w:rsidRDefault="009F0E1A" w:rsidP="000A062E">
      <w:pPr>
        <w:spacing w:after="0" w:line="250" w:lineRule="exact"/>
        <w:rPr>
          <w:rFonts w:cs="Arial"/>
        </w:rPr>
      </w:pPr>
      <w:r>
        <w:t xml:space="preserve">There are additional issues or factors that could be relevant, however in this new area we consider it is impossible for </w:t>
      </w:r>
      <w:r w:rsidR="00D41137">
        <w:t xml:space="preserve">the Regulator </w:t>
      </w:r>
      <w:r>
        <w:t>to be comprehensive at this stage.</w:t>
      </w:r>
      <w:r w:rsidR="00D41137">
        <w:t xml:space="preserve"> This is why we would like to see the Code being reviewed within three years of coming into effect.</w:t>
      </w:r>
    </w:p>
    <w:p w14:paraId="5370374A" w14:textId="1305F05F" w:rsidR="00B13991" w:rsidRPr="00F65F22" w:rsidRDefault="00B13991" w:rsidP="00F65F22">
      <w:pPr>
        <w:spacing w:after="0" w:line="250" w:lineRule="exact"/>
        <w:ind w:left="426" w:hanging="426"/>
        <w:rPr>
          <w:rFonts w:cs="Arial"/>
          <w:b/>
          <w:bCs/>
        </w:rPr>
      </w:pPr>
    </w:p>
    <w:p w14:paraId="65E321DC" w14:textId="40AD5472" w:rsidR="00B13991" w:rsidRDefault="00B13991" w:rsidP="00F65F22">
      <w:pPr>
        <w:spacing w:after="0" w:line="250" w:lineRule="exact"/>
        <w:ind w:left="426" w:hanging="426"/>
        <w:rPr>
          <w:rFonts w:cs="Arial"/>
          <w:b/>
          <w:bCs/>
        </w:rPr>
      </w:pPr>
      <w:r w:rsidRPr="00F65F22">
        <w:rPr>
          <w:rFonts w:cs="Arial"/>
          <w:b/>
          <w:bCs/>
        </w:rPr>
        <w:t>24.</w:t>
      </w:r>
      <w:r w:rsidRPr="00F65F22">
        <w:rPr>
          <w:rFonts w:cs="Arial"/>
          <w:b/>
          <w:bCs/>
        </w:rPr>
        <w:tab/>
        <w:t>In regard to testing and modelling, is it appropriate to expect schemes to conduct asset liability modelling (ALM)?</w:t>
      </w:r>
    </w:p>
    <w:p w14:paraId="548D5EB9" w14:textId="4E77B9B8" w:rsidR="00A848BE" w:rsidRDefault="00A848BE" w:rsidP="00F65F22">
      <w:pPr>
        <w:spacing w:after="0" w:line="250" w:lineRule="exact"/>
        <w:ind w:left="426" w:hanging="426"/>
        <w:rPr>
          <w:rFonts w:cs="Arial"/>
          <w:b/>
          <w:bCs/>
        </w:rPr>
      </w:pPr>
    </w:p>
    <w:p w14:paraId="7502A243" w14:textId="0CC9F8B2" w:rsidR="00D52CE5" w:rsidRDefault="00D52CE5" w:rsidP="00800427">
      <w:pPr>
        <w:spacing w:after="0" w:line="250" w:lineRule="exact"/>
        <w:rPr>
          <w:rFonts w:cs="Arial"/>
        </w:rPr>
      </w:pPr>
      <w:r>
        <w:rPr>
          <w:rFonts w:cs="Arial"/>
        </w:rPr>
        <w:t>Yes</w:t>
      </w:r>
    </w:p>
    <w:p w14:paraId="7E9C8223" w14:textId="77777777" w:rsidR="00D52CE5" w:rsidRDefault="00D52CE5" w:rsidP="00800427">
      <w:pPr>
        <w:spacing w:after="0" w:line="250" w:lineRule="exact"/>
        <w:rPr>
          <w:rFonts w:cs="Arial"/>
        </w:rPr>
      </w:pPr>
    </w:p>
    <w:p w14:paraId="621CB1DE" w14:textId="79AB3E5D" w:rsidR="00A848BE" w:rsidRPr="00800427" w:rsidRDefault="00800427" w:rsidP="00800427">
      <w:pPr>
        <w:spacing w:after="0" w:line="250" w:lineRule="exact"/>
        <w:rPr>
          <w:rFonts w:cs="Arial"/>
        </w:rPr>
      </w:pPr>
      <w:r w:rsidRPr="00800427">
        <w:rPr>
          <w:rFonts w:cs="Arial"/>
        </w:rPr>
        <w:t xml:space="preserve">We note that the regulations do not require this, although </w:t>
      </w:r>
      <w:r w:rsidR="00CD07FC">
        <w:rPr>
          <w:rFonts w:cs="Arial"/>
        </w:rPr>
        <w:t>Regulation</w:t>
      </w:r>
      <w:r w:rsidRPr="00800427">
        <w:rPr>
          <w:rFonts w:cs="Arial"/>
        </w:rPr>
        <w:t xml:space="preserve"> 10(4)(c) suggests that the scheme actuary’s viability advice to the trustees could include “modelling” (as well as</w:t>
      </w:r>
      <w:r w:rsidR="00E52285">
        <w:rPr>
          <w:rFonts w:cs="Arial"/>
        </w:rPr>
        <w:t>, or instead of,</w:t>
      </w:r>
      <w:r w:rsidRPr="00800427">
        <w:rPr>
          <w:rFonts w:cs="Arial"/>
        </w:rPr>
        <w:t xml:space="preserve"> testing). We consider that, given the variable nature of </w:t>
      </w:r>
      <w:r w:rsidR="00E52285">
        <w:rPr>
          <w:rFonts w:cs="Arial"/>
        </w:rPr>
        <w:t>CDC</w:t>
      </w:r>
      <w:r w:rsidR="00E52285" w:rsidRPr="00800427">
        <w:rPr>
          <w:rFonts w:cs="Arial"/>
        </w:rPr>
        <w:t xml:space="preserve"> </w:t>
      </w:r>
      <w:r w:rsidRPr="00800427">
        <w:rPr>
          <w:rFonts w:cs="Arial"/>
        </w:rPr>
        <w:t>scheme benefits, it is appropriate to seek to measure variability of outcomes</w:t>
      </w:r>
      <w:r w:rsidR="00983A6C">
        <w:rPr>
          <w:rFonts w:cs="Arial"/>
        </w:rPr>
        <w:t xml:space="preserve"> through modelling</w:t>
      </w:r>
      <w:r w:rsidRPr="00800427">
        <w:rPr>
          <w:rFonts w:cs="Arial"/>
        </w:rPr>
        <w:t xml:space="preserve">, in order to further understand the consequences of the scheme design.  </w:t>
      </w:r>
      <w:r w:rsidR="0096616D">
        <w:rPr>
          <w:rFonts w:cs="Arial"/>
        </w:rPr>
        <w:t>Also this could be useful for any references in member communications to the potential extent of variability of the benefits.</w:t>
      </w:r>
      <w:r w:rsidR="00983A6C">
        <w:rPr>
          <w:rFonts w:cs="Arial"/>
        </w:rPr>
        <w:t xml:space="preserve">  </w:t>
      </w:r>
      <w:r w:rsidRPr="00800427">
        <w:rPr>
          <w:rFonts w:cs="Arial"/>
        </w:rPr>
        <w:t>We consider that carrying this out at the “gateway” stage, and then at least once every 3 or 5 years once the scheme is “live running”, would typically be proportionate, although trustees could ask the scheme actuary to bring forward the next exercise if there was a particular need for this</w:t>
      </w:r>
      <w:r w:rsidR="00FB5F42">
        <w:rPr>
          <w:rFonts w:cs="Arial"/>
        </w:rPr>
        <w:t xml:space="preserve"> for example if there was</w:t>
      </w:r>
      <w:r w:rsidR="00FB5F42" w:rsidRPr="00FB5F42">
        <w:rPr>
          <w:rFonts w:cs="Arial"/>
        </w:rPr>
        <w:t xml:space="preserve"> a material change in circumstances which mean previous modelling is no longer considered appropriate</w:t>
      </w:r>
      <w:r w:rsidRPr="00800427">
        <w:rPr>
          <w:rFonts w:cs="Arial"/>
        </w:rPr>
        <w:t xml:space="preserve">.  However we caution that, given the nature of </w:t>
      </w:r>
      <w:r w:rsidR="001B71AC">
        <w:rPr>
          <w:rFonts w:cs="Arial"/>
        </w:rPr>
        <w:t>CDC</w:t>
      </w:r>
      <w:r w:rsidRPr="00800427">
        <w:rPr>
          <w:rFonts w:cs="Arial"/>
        </w:rPr>
        <w:t xml:space="preserve">, there will always be the possibility of lower-than-expected benefit outcomes, and that in itself does not mean the design is not sound.  It will require judgement as to how much risk of poor outcomes </w:t>
      </w:r>
      <w:r w:rsidR="0032726D">
        <w:rPr>
          <w:rFonts w:cs="Arial"/>
        </w:rPr>
        <w:t xml:space="preserve">or </w:t>
      </w:r>
      <w:r w:rsidR="002D5F22">
        <w:rPr>
          <w:rFonts w:cs="Arial"/>
        </w:rPr>
        <w:t xml:space="preserve">unintended cross subsidy between members </w:t>
      </w:r>
      <w:r w:rsidRPr="00800427">
        <w:rPr>
          <w:rFonts w:cs="Arial"/>
        </w:rPr>
        <w:t>is “too much” for the scheme to open or remain open.</w:t>
      </w:r>
      <w:r w:rsidR="00054EDB">
        <w:rPr>
          <w:rFonts w:cs="Arial"/>
        </w:rPr>
        <w:t xml:space="preserve"> Trustees might decide it is appropriate to set some high-level principles setting out how they will assess this</w:t>
      </w:r>
      <w:r w:rsidR="00E11E98">
        <w:rPr>
          <w:rFonts w:cs="Arial"/>
        </w:rPr>
        <w:t xml:space="preserve">, to </w:t>
      </w:r>
      <w:r w:rsidR="00245656">
        <w:rPr>
          <w:rFonts w:cs="Arial"/>
        </w:rPr>
        <w:t xml:space="preserve">help take into account long-term context when assessing soundness, and </w:t>
      </w:r>
      <w:r w:rsidR="00E11E98">
        <w:rPr>
          <w:rFonts w:cs="Arial"/>
        </w:rPr>
        <w:t xml:space="preserve">reduce the risk that gradual trends </w:t>
      </w:r>
      <w:r w:rsidR="00D06F95">
        <w:rPr>
          <w:rFonts w:cs="Arial"/>
        </w:rPr>
        <w:t xml:space="preserve">away from an acceptable design </w:t>
      </w:r>
      <w:r w:rsidR="00E11E98">
        <w:rPr>
          <w:rFonts w:cs="Arial"/>
        </w:rPr>
        <w:t xml:space="preserve">are allowed to continue </w:t>
      </w:r>
      <w:r w:rsidR="00D06F95">
        <w:rPr>
          <w:rFonts w:cs="Arial"/>
        </w:rPr>
        <w:t>indefinitely</w:t>
      </w:r>
      <w:r w:rsidR="004429CF">
        <w:rPr>
          <w:rFonts w:cs="Arial"/>
        </w:rPr>
        <w:t xml:space="preserve"> based on consideration only of the latest small movement</w:t>
      </w:r>
      <w:r w:rsidR="00D06F95">
        <w:rPr>
          <w:rFonts w:cs="Arial"/>
        </w:rPr>
        <w:t>,</w:t>
      </w:r>
      <w:r w:rsidR="004429CF">
        <w:rPr>
          <w:rFonts w:cs="Arial"/>
        </w:rPr>
        <w:t xml:space="preserve"> </w:t>
      </w:r>
      <w:r w:rsidR="00D06F95">
        <w:rPr>
          <w:rFonts w:cs="Arial"/>
        </w:rPr>
        <w:t xml:space="preserve"> </w:t>
      </w:r>
      <w:r w:rsidR="00054EDB">
        <w:rPr>
          <w:rFonts w:cs="Arial"/>
        </w:rPr>
        <w:t xml:space="preserve"> </w:t>
      </w:r>
    </w:p>
    <w:p w14:paraId="3F71F287" w14:textId="79C4A11D" w:rsidR="0014671E" w:rsidRDefault="0014671E" w:rsidP="00F65F22">
      <w:pPr>
        <w:spacing w:after="0" w:line="250" w:lineRule="exact"/>
        <w:ind w:left="426" w:hanging="426"/>
        <w:rPr>
          <w:rFonts w:cs="Arial"/>
          <w:b/>
          <w:bCs/>
        </w:rPr>
      </w:pPr>
    </w:p>
    <w:p w14:paraId="5D1DF7D7" w14:textId="5A7F1010" w:rsidR="0014671E" w:rsidRDefault="0014671E" w:rsidP="00F65F22">
      <w:pPr>
        <w:spacing w:after="0" w:line="250" w:lineRule="exact"/>
        <w:ind w:left="426" w:hanging="426"/>
        <w:rPr>
          <w:rFonts w:cs="Arial"/>
          <w:b/>
          <w:bCs/>
        </w:rPr>
      </w:pPr>
      <w:r w:rsidRPr="00F65F22">
        <w:rPr>
          <w:rFonts w:cs="Arial"/>
          <w:b/>
          <w:bCs/>
        </w:rPr>
        <w:t>25.</w:t>
      </w:r>
      <w:r w:rsidRPr="00F65F22">
        <w:rPr>
          <w:rFonts w:cs="Arial"/>
          <w:b/>
          <w:bCs/>
        </w:rPr>
        <w:tab/>
        <w:t>Are there any other aspects of the trustees’ stewardship of the investment strategy that we should be assessing in support of a scheme’s design being sound?</w:t>
      </w:r>
    </w:p>
    <w:p w14:paraId="19A80AA9" w14:textId="5EADC7D1" w:rsidR="00A848BE" w:rsidRDefault="00A848BE" w:rsidP="00F65F22">
      <w:pPr>
        <w:spacing w:after="0" w:line="250" w:lineRule="exact"/>
        <w:ind w:left="426" w:hanging="426"/>
        <w:rPr>
          <w:rFonts w:cs="Arial"/>
          <w:b/>
          <w:bCs/>
        </w:rPr>
      </w:pPr>
    </w:p>
    <w:p w14:paraId="5DC2F346" w14:textId="44D36DA1" w:rsidR="00D52CE5" w:rsidRDefault="00D52CE5" w:rsidP="00F00261">
      <w:pPr>
        <w:spacing w:after="0" w:line="250" w:lineRule="exact"/>
        <w:rPr>
          <w:rFonts w:cs="Arial"/>
        </w:rPr>
      </w:pPr>
      <w:r>
        <w:rPr>
          <w:rFonts w:cs="Arial"/>
        </w:rPr>
        <w:t>Yes</w:t>
      </w:r>
    </w:p>
    <w:p w14:paraId="6BEC6EDB" w14:textId="77777777" w:rsidR="00D52CE5" w:rsidRDefault="00D52CE5" w:rsidP="00F00261">
      <w:pPr>
        <w:spacing w:after="0" w:line="250" w:lineRule="exact"/>
        <w:rPr>
          <w:rFonts w:cs="Arial"/>
        </w:rPr>
      </w:pPr>
    </w:p>
    <w:p w14:paraId="3BD16572" w14:textId="162E9971" w:rsidR="00FA0D30" w:rsidRDefault="00FA0D30" w:rsidP="00F00261">
      <w:pPr>
        <w:spacing w:after="0" w:line="250" w:lineRule="exact"/>
        <w:rPr>
          <w:rFonts w:cs="Arial"/>
        </w:rPr>
      </w:pPr>
      <w:r w:rsidRPr="00F00261">
        <w:rPr>
          <w:rFonts w:cs="Arial"/>
        </w:rPr>
        <w:t xml:space="preserve">Note that </w:t>
      </w:r>
      <w:r w:rsidR="006F2ACA">
        <w:rPr>
          <w:rFonts w:cs="Arial"/>
        </w:rPr>
        <w:t xml:space="preserve">in some </w:t>
      </w:r>
      <w:r w:rsidR="007132EA">
        <w:rPr>
          <w:rFonts w:cs="Arial"/>
        </w:rPr>
        <w:t xml:space="preserve">CDC </w:t>
      </w:r>
      <w:r w:rsidR="006F2ACA">
        <w:rPr>
          <w:rFonts w:cs="Arial"/>
        </w:rPr>
        <w:t>schemes</w:t>
      </w:r>
      <w:r w:rsidRPr="00F00261">
        <w:rPr>
          <w:rFonts w:cs="Arial"/>
        </w:rPr>
        <w:t xml:space="preserve"> </w:t>
      </w:r>
      <w:r w:rsidR="007132EA">
        <w:rPr>
          <w:rFonts w:cs="Arial"/>
        </w:rPr>
        <w:t xml:space="preserve">the </w:t>
      </w:r>
      <w:r w:rsidRPr="00F00261">
        <w:rPr>
          <w:rFonts w:cs="Arial"/>
        </w:rPr>
        <w:t xml:space="preserve">rules </w:t>
      </w:r>
      <w:r w:rsidR="006F2ACA">
        <w:rPr>
          <w:rFonts w:cs="Arial"/>
        </w:rPr>
        <w:t>may</w:t>
      </w:r>
      <w:r w:rsidRPr="00F00261">
        <w:rPr>
          <w:rFonts w:cs="Arial"/>
        </w:rPr>
        <w:t xml:space="preserve"> prescribe investment strategy, as is the case in </w:t>
      </w:r>
      <w:r w:rsidR="00F00261" w:rsidRPr="00F00261">
        <w:rPr>
          <w:rFonts w:cs="Arial"/>
        </w:rPr>
        <w:t xml:space="preserve">the design published by the Royal Mail in 2018.  Under Trust law, </w:t>
      </w:r>
      <w:r w:rsidR="00E52285">
        <w:rPr>
          <w:rFonts w:cs="Arial"/>
        </w:rPr>
        <w:t>t</w:t>
      </w:r>
      <w:r w:rsidRPr="00F00261">
        <w:rPr>
          <w:rFonts w:cs="Arial"/>
        </w:rPr>
        <w:t xml:space="preserve">rustees’ investment decisions are </w:t>
      </w:r>
      <w:r w:rsidR="00F00261" w:rsidRPr="00F00261">
        <w:rPr>
          <w:rFonts w:cs="Arial"/>
        </w:rPr>
        <w:t xml:space="preserve">then </w:t>
      </w:r>
      <w:r w:rsidRPr="00F00261">
        <w:rPr>
          <w:rFonts w:cs="Arial"/>
        </w:rPr>
        <w:t xml:space="preserve">confined to those which meet that prescription.  </w:t>
      </w:r>
      <w:r w:rsidR="005C3B3B">
        <w:rPr>
          <w:rFonts w:cs="Arial"/>
        </w:rPr>
        <w:t xml:space="preserve">This is not </w:t>
      </w:r>
      <w:r w:rsidR="00E85AC3">
        <w:rPr>
          <w:rFonts w:cs="Arial"/>
        </w:rPr>
        <w:t xml:space="preserve">addressed </w:t>
      </w:r>
      <w:r w:rsidR="005C3B3B">
        <w:rPr>
          <w:rFonts w:cs="Arial"/>
        </w:rPr>
        <w:t>in the draft Code.  Also, w</w:t>
      </w:r>
      <w:r w:rsidRPr="00F00261">
        <w:rPr>
          <w:rFonts w:cs="Arial"/>
        </w:rPr>
        <w:t xml:space="preserve">e would expect </w:t>
      </w:r>
      <w:r w:rsidR="00E85AC3">
        <w:rPr>
          <w:rFonts w:cs="Arial"/>
        </w:rPr>
        <w:t xml:space="preserve">this to be one of the elements of the scheme design which is relevant to the consideration of </w:t>
      </w:r>
      <w:r w:rsidRPr="00F00261">
        <w:rPr>
          <w:rFonts w:cs="Arial"/>
        </w:rPr>
        <w:t>soundness.</w:t>
      </w:r>
    </w:p>
    <w:p w14:paraId="41C758AD" w14:textId="77777777" w:rsidR="00F00261" w:rsidRPr="00F00261" w:rsidRDefault="00F00261" w:rsidP="00F00261">
      <w:pPr>
        <w:spacing w:after="0" w:line="250" w:lineRule="exact"/>
        <w:rPr>
          <w:rFonts w:cs="Arial"/>
        </w:rPr>
      </w:pPr>
    </w:p>
    <w:p w14:paraId="4BD78646" w14:textId="050DBED4" w:rsidR="00A848BE" w:rsidRDefault="005C3B3B" w:rsidP="0043285F">
      <w:pPr>
        <w:spacing w:after="0" w:line="250" w:lineRule="exact"/>
        <w:rPr>
          <w:rFonts w:cs="Arial"/>
        </w:rPr>
      </w:pPr>
      <w:r>
        <w:rPr>
          <w:rFonts w:cs="Arial"/>
        </w:rPr>
        <w:t>W</w:t>
      </w:r>
      <w:r w:rsidR="00F00261" w:rsidRPr="0043285F">
        <w:rPr>
          <w:rFonts w:cs="Arial"/>
        </w:rPr>
        <w:t>e</w:t>
      </w:r>
      <w:r w:rsidR="00B90804" w:rsidRPr="0043285F">
        <w:rPr>
          <w:rFonts w:cs="Arial"/>
        </w:rPr>
        <w:t xml:space="preserve"> </w:t>
      </w:r>
      <w:r>
        <w:rPr>
          <w:rFonts w:cs="Arial"/>
        </w:rPr>
        <w:t xml:space="preserve">also </w:t>
      </w:r>
      <w:r w:rsidR="00E85AC3">
        <w:rPr>
          <w:rFonts w:cs="Arial"/>
        </w:rPr>
        <w:t xml:space="preserve">suggest that you encourage the Trustees to foster close collaboration between </w:t>
      </w:r>
      <w:r w:rsidR="000D14BA" w:rsidRPr="0043285F">
        <w:rPr>
          <w:rFonts w:cs="Arial"/>
        </w:rPr>
        <w:t xml:space="preserve">the investment adviser and </w:t>
      </w:r>
      <w:r w:rsidR="00E52285">
        <w:rPr>
          <w:rFonts w:cs="Arial"/>
        </w:rPr>
        <w:t>S</w:t>
      </w:r>
      <w:r w:rsidR="00E52285" w:rsidRPr="0043285F">
        <w:rPr>
          <w:rFonts w:cs="Arial"/>
        </w:rPr>
        <w:t xml:space="preserve">cheme </w:t>
      </w:r>
      <w:proofErr w:type="spellStart"/>
      <w:r w:rsidR="00E52285">
        <w:rPr>
          <w:rFonts w:cs="Arial"/>
        </w:rPr>
        <w:t>A</w:t>
      </w:r>
      <w:r w:rsidR="00E52285" w:rsidRPr="0043285F">
        <w:rPr>
          <w:rFonts w:cs="Arial"/>
        </w:rPr>
        <w:t>ctuary</w:t>
      </w:r>
      <w:r w:rsidR="00E85AC3">
        <w:rPr>
          <w:rFonts w:cs="Arial"/>
        </w:rPr>
        <w:t>.The</w:t>
      </w:r>
      <w:proofErr w:type="spellEnd"/>
      <w:r w:rsidR="00E85AC3">
        <w:rPr>
          <w:rFonts w:cs="Arial"/>
        </w:rPr>
        <w:t xml:space="preserve"> </w:t>
      </w:r>
      <w:r w:rsidR="00717EB4" w:rsidRPr="0043285F">
        <w:rPr>
          <w:rFonts w:cs="Arial"/>
        </w:rPr>
        <w:t xml:space="preserve">asset allocation </w:t>
      </w:r>
      <w:r w:rsidR="00E85AC3">
        <w:rPr>
          <w:rFonts w:cs="Arial"/>
        </w:rPr>
        <w:t>is a key element in the assessment of viability and soundness, and the viability assessment itself might in turn influence decisions on asset allocation. It is therefore important that advice to the trustees on these aspects is joined up.</w:t>
      </w:r>
    </w:p>
    <w:p w14:paraId="71C2678F" w14:textId="33C8A550" w:rsidR="00357E72" w:rsidRDefault="00357E72" w:rsidP="0043285F">
      <w:pPr>
        <w:spacing w:after="0" w:line="250" w:lineRule="exact"/>
        <w:rPr>
          <w:rFonts w:cs="Arial"/>
        </w:rPr>
      </w:pPr>
    </w:p>
    <w:p w14:paraId="337AAD27" w14:textId="7380956F" w:rsidR="00357E72" w:rsidRPr="0043285F" w:rsidRDefault="00357E72" w:rsidP="00357E72">
      <w:pPr>
        <w:spacing w:after="0" w:line="250" w:lineRule="exact"/>
        <w:rPr>
          <w:rFonts w:cs="Arial"/>
        </w:rPr>
      </w:pPr>
      <w:r w:rsidRPr="00357E72">
        <w:rPr>
          <w:rFonts w:cs="Arial"/>
        </w:rPr>
        <w:t xml:space="preserve">The consultation says “We expect trustees to explain how their investment strategy supports the scheme design.” We do not think the investment strategy of a CDC scheme has a role of “supporting scheme design”. The principal task of the investment strategy is to earn a good return for the members. The task to assess the expected return and to construct a benefit plan which uses the available resources. The direction of thought is the investment strategy comes first, then the benefit design. Not the other way around as TPR has it, with the design coming first then the investment strategy to “support” it. Of course, the process is not entirely linear. Having devised an investment strategy and an actuarial plan, then tested it with ALM, </w:t>
      </w:r>
      <w:r w:rsidR="005F340A">
        <w:rPr>
          <w:rFonts w:cs="Arial"/>
        </w:rPr>
        <w:t>trustees</w:t>
      </w:r>
      <w:r w:rsidRPr="00357E72">
        <w:rPr>
          <w:rFonts w:cs="Arial"/>
        </w:rPr>
        <w:t xml:space="preserve"> might then modify the investment strategy.</w:t>
      </w:r>
    </w:p>
    <w:p w14:paraId="0E144648" w14:textId="3AD900EA" w:rsidR="003B74D2" w:rsidRPr="00F65F22" w:rsidRDefault="003B74D2" w:rsidP="00F65F22">
      <w:pPr>
        <w:spacing w:after="0" w:line="250" w:lineRule="exact"/>
        <w:ind w:left="426" w:hanging="426"/>
        <w:rPr>
          <w:rFonts w:cs="Arial"/>
          <w:b/>
          <w:bCs/>
        </w:rPr>
      </w:pPr>
    </w:p>
    <w:p w14:paraId="3204D2CC" w14:textId="2647141B" w:rsidR="003B74D2" w:rsidRDefault="003B74D2" w:rsidP="00F65F22">
      <w:pPr>
        <w:spacing w:after="0" w:line="250" w:lineRule="exact"/>
        <w:ind w:left="426" w:hanging="426"/>
        <w:rPr>
          <w:rFonts w:cs="Arial"/>
          <w:b/>
          <w:bCs/>
        </w:rPr>
      </w:pPr>
      <w:r w:rsidRPr="00F65F22">
        <w:rPr>
          <w:rFonts w:cs="Arial"/>
          <w:b/>
          <w:bCs/>
        </w:rPr>
        <w:t>26.</w:t>
      </w:r>
      <w:r w:rsidRPr="00F65F22">
        <w:rPr>
          <w:rFonts w:cs="Arial"/>
          <w:b/>
          <w:bCs/>
        </w:rPr>
        <w:tab/>
        <w:t>In respect to the gateway and live running tests, are there any further matters we should consider and is it clear what we expect?</w:t>
      </w:r>
    </w:p>
    <w:p w14:paraId="0FDB2023" w14:textId="646C8766" w:rsidR="00A848BE" w:rsidRDefault="00A848BE" w:rsidP="00F65F22">
      <w:pPr>
        <w:spacing w:after="0" w:line="250" w:lineRule="exact"/>
        <w:ind w:left="426" w:hanging="426"/>
        <w:rPr>
          <w:rFonts w:cs="Arial"/>
          <w:b/>
          <w:bCs/>
        </w:rPr>
      </w:pPr>
    </w:p>
    <w:p w14:paraId="32934619" w14:textId="74A95A80" w:rsidR="00A848BE" w:rsidRDefault="00831DB0" w:rsidP="00353E3A">
      <w:pPr>
        <w:spacing w:after="0" w:line="250" w:lineRule="exact"/>
      </w:pPr>
      <w:r>
        <w:t>We suggest you</w:t>
      </w:r>
      <w:r w:rsidR="00353E3A">
        <w:t xml:space="preserve"> </w:t>
      </w:r>
      <w:r w:rsidR="00E85AC3">
        <w:t>make it clear whether</w:t>
      </w:r>
      <w:r w:rsidR="00353E3A">
        <w:t xml:space="preserve">, once the scheme is open, </w:t>
      </w:r>
      <w:r>
        <w:t>you</w:t>
      </w:r>
      <w:r w:rsidR="00353E3A">
        <w:t xml:space="preserve"> expect the “central estimate</w:t>
      </w:r>
      <w:r w:rsidR="00E52285">
        <w:t>”</w:t>
      </w:r>
      <w:r w:rsidR="00353E3A">
        <w:t xml:space="preserve"> basis used by the actuary in the live running tests to be the same as that adopted by the trustees for the corresponding valuation. And </w:t>
      </w:r>
      <w:r w:rsidR="003731F1">
        <w:t xml:space="preserve">that </w:t>
      </w:r>
      <w:r w:rsidR="00353E3A">
        <w:t xml:space="preserve">prior to opening, </w:t>
      </w:r>
      <w:r>
        <w:t>you</w:t>
      </w:r>
      <w:r w:rsidR="00353E3A">
        <w:t xml:space="preserve"> </w:t>
      </w:r>
      <w:r w:rsidR="00E85AC3">
        <w:t>would encourage</w:t>
      </w:r>
      <w:r w:rsidR="00353E3A">
        <w:t xml:space="preserve"> </w:t>
      </w:r>
      <w:r w:rsidR="00E41223">
        <w:t>trustees</w:t>
      </w:r>
      <w:r w:rsidR="00353E3A">
        <w:t xml:space="preserve"> to have engaged with the </w:t>
      </w:r>
      <w:r w:rsidR="00E41223">
        <w:t>actuary</w:t>
      </w:r>
      <w:r w:rsidR="00353E3A">
        <w:t xml:space="preserve"> to determine (on actuarial advice) the principles they intend to use to determine valuation assumptions, and for the gateway tests basis to be in accordance with those principles.</w:t>
      </w:r>
    </w:p>
    <w:p w14:paraId="56700800" w14:textId="345ADE41" w:rsidR="00357E72" w:rsidRDefault="00357E72" w:rsidP="00353E3A">
      <w:pPr>
        <w:spacing w:after="0" w:line="250" w:lineRule="exact"/>
      </w:pPr>
    </w:p>
    <w:p w14:paraId="4B3AEC21" w14:textId="77777777" w:rsidR="00357E72" w:rsidRPr="00357E72" w:rsidRDefault="00357E72" w:rsidP="00357E72">
      <w:pPr>
        <w:spacing w:after="0" w:line="250" w:lineRule="exact"/>
        <w:rPr>
          <w:rFonts w:cs="Arial"/>
        </w:rPr>
      </w:pPr>
      <w:r w:rsidRPr="00357E72">
        <w:rPr>
          <w:rFonts w:cs="Arial"/>
        </w:rPr>
        <w:t xml:space="preserve">The gateway and live running tests provide regulatory protections for members. However, passing these tests is necessary but not sufficient. In scrutinising a scheme TPR should think more widely than these tests before deciding whether the scheme is sound and/or running satisfactorily. </w:t>
      </w:r>
    </w:p>
    <w:p w14:paraId="2E817865" w14:textId="77777777" w:rsidR="00357E72" w:rsidRPr="00357E72" w:rsidRDefault="00357E72" w:rsidP="00357E72">
      <w:pPr>
        <w:spacing w:after="0" w:line="250" w:lineRule="exact"/>
        <w:rPr>
          <w:rFonts w:cs="Arial"/>
        </w:rPr>
      </w:pPr>
    </w:p>
    <w:p w14:paraId="1D0D34C3" w14:textId="1FBB61CB" w:rsidR="00357E72" w:rsidRPr="00353E3A" w:rsidRDefault="00357E72" w:rsidP="00357E72">
      <w:pPr>
        <w:spacing w:after="0" w:line="250" w:lineRule="exact"/>
        <w:rPr>
          <w:rFonts w:cs="Arial"/>
        </w:rPr>
      </w:pPr>
      <w:r w:rsidRPr="00357E72">
        <w:rPr>
          <w:rFonts w:cs="Arial"/>
        </w:rPr>
        <w:t>This is not to say we are asking TPR to add more tests of its own to the regulatory tests, we do not wish to see a more burdensome code. Rather, we wish the focus to be on the big picture question “is this scheme working as envisaged?” instead of 100 little questions.</w:t>
      </w:r>
    </w:p>
    <w:p w14:paraId="1BE2CFE6" w14:textId="674E7375" w:rsidR="00F65F22" w:rsidRPr="00F65F22" w:rsidRDefault="00F65F22" w:rsidP="00F65F22">
      <w:pPr>
        <w:spacing w:after="0" w:line="250" w:lineRule="exact"/>
        <w:ind w:left="426" w:hanging="426"/>
        <w:rPr>
          <w:rFonts w:cs="Arial"/>
          <w:b/>
          <w:bCs/>
        </w:rPr>
      </w:pPr>
    </w:p>
    <w:p w14:paraId="47B04597" w14:textId="56F4F217" w:rsidR="00F65F22" w:rsidRDefault="00F65F22" w:rsidP="00F65F22">
      <w:pPr>
        <w:spacing w:after="0" w:line="250" w:lineRule="exact"/>
        <w:ind w:left="426" w:hanging="426"/>
        <w:rPr>
          <w:rFonts w:cs="Arial"/>
          <w:b/>
          <w:bCs/>
        </w:rPr>
      </w:pPr>
      <w:r w:rsidRPr="00F65F22">
        <w:rPr>
          <w:rFonts w:cs="Arial"/>
          <w:b/>
          <w:bCs/>
        </w:rPr>
        <w:t>27.</w:t>
      </w:r>
      <w:r w:rsidRPr="00F65F22">
        <w:rPr>
          <w:rFonts w:cs="Arial"/>
          <w:b/>
          <w:bCs/>
        </w:rPr>
        <w:tab/>
        <w:t>Our plan is to provide a standard template for the viability certificate to ensure what is being certified is standardised across CDC schemes. Is this helpful?</w:t>
      </w:r>
    </w:p>
    <w:p w14:paraId="0DF8415D" w14:textId="07F03A92" w:rsidR="00A848BE" w:rsidRDefault="00A848BE" w:rsidP="00F65F22">
      <w:pPr>
        <w:spacing w:after="0" w:line="250" w:lineRule="exact"/>
        <w:ind w:left="426" w:hanging="426"/>
        <w:rPr>
          <w:rFonts w:cs="Arial"/>
          <w:b/>
          <w:bCs/>
        </w:rPr>
      </w:pPr>
    </w:p>
    <w:p w14:paraId="63122F1C" w14:textId="77777777" w:rsidR="00D701D8" w:rsidRDefault="00D701D8" w:rsidP="00072222">
      <w:pPr>
        <w:spacing w:after="0" w:line="250" w:lineRule="exact"/>
        <w:rPr>
          <w:rFonts w:cs="Arial"/>
        </w:rPr>
      </w:pPr>
      <w:r>
        <w:rPr>
          <w:rFonts w:cs="Arial"/>
        </w:rPr>
        <w:t>Yes</w:t>
      </w:r>
    </w:p>
    <w:p w14:paraId="423C6284" w14:textId="77777777" w:rsidR="00D701D8" w:rsidRDefault="00D701D8" w:rsidP="00072222">
      <w:pPr>
        <w:spacing w:after="0" w:line="250" w:lineRule="exact"/>
        <w:rPr>
          <w:rFonts w:cs="Arial"/>
        </w:rPr>
      </w:pPr>
    </w:p>
    <w:p w14:paraId="2603A5D8" w14:textId="2001E25A" w:rsidR="00A848BE" w:rsidRDefault="00072222" w:rsidP="00072222">
      <w:pPr>
        <w:spacing w:after="0" w:line="250" w:lineRule="exact"/>
        <w:rPr>
          <w:rFonts w:cs="Arial"/>
        </w:rPr>
      </w:pPr>
      <w:r w:rsidRPr="00072222">
        <w:rPr>
          <w:rFonts w:cs="Arial"/>
        </w:rPr>
        <w:t>As noted in Q21 above, viability assessments are likely to be one of the most challenging areas for the scheme actuary</w:t>
      </w:r>
      <w:r>
        <w:rPr>
          <w:rFonts w:cs="Arial"/>
        </w:rPr>
        <w:t xml:space="preserve">, both in forming judgements and </w:t>
      </w:r>
      <w:r w:rsidR="000A4C20">
        <w:rPr>
          <w:rFonts w:cs="Arial"/>
        </w:rPr>
        <w:t>appropriately recording advice in a way which manages the risks of the advice being misunderstood or too much reliance being placed on the actuary</w:t>
      </w:r>
      <w:r w:rsidR="00A52072">
        <w:rPr>
          <w:rFonts w:cs="Arial"/>
        </w:rPr>
        <w:t>’s view (for example, of soundness)</w:t>
      </w:r>
      <w:r w:rsidR="000A4C20">
        <w:rPr>
          <w:rFonts w:cs="Arial"/>
        </w:rPr>
        <w:t xml:space="preserve">.  </w:t>
      </w:r>
    </w:p>
    <w:p w14:paraId="04B970A8" w14:textId="59239B72" w:rsidR="000A4C20" w:rsidRDefault="000A4C20" w:rsidP="00072222">
      <w:pPr>
        <w:spacing w:after="0" w:line="250" w:lineRule="exact"/>
        <w:rPr>
          <w:rFonts w:cs="Arial"/>
        </w:rPr>
      </w:pPr>
    </w:p>
    <w:p w14:paraId="305D12CA" w14:textId="0355684C" w:rsidR="00510324" w:rsidRDefault="00A81EF7" w:rsidP="00072222">
      <w:pPr>
        <w:spacing w:after="0" w:line="250" w:lineRule="exact"/>
        <w:rPr>
          <w:rFonts w:cs="Arial"/>
        </w:rPr>
      </w:pPr>
      <w:r>
        <w:rPr>
          <w:rFonts w:cs="Arial"/>
        </w:rPr>
        <w:t xml:space="preserve">We consider that it is helpful to have a template certificate, as long as it is </w:t>
      </w:r>
      <w:r w:rsidR="00EA1BC9">
        <w:rPr>
          <w:rFonts w:cs="Arial"/>
        </w:rPr>
        <w:t xml:space="preserve">sufficiently robust to enable </w:t>
      </w:r>
      <w:r>
        <w:rPr>
          <w:rFonts w:cs="Arial"/>
        </w:rPr>
        <w:t xml:space="preserve">the scheme actuary to </w:t>
      </w:r>
      <w:r w:rsidR="00FE37C7">
        <w:rPr>
          <w:rFonts w:cs="Arial"/>
        </w:rPr>
        <w:t xml:space="preserve">sign it (when of the view the </w:t>
      </w:r>
      <w:r w:rsidR="00EA1BC9">
        <w:rPr>
          <w:rFonts w:cs="Arial"/>
        </w:rPr>
        <w:t xml:space="preserve">scheme </w:t>
      </w:r>
      <w:r w:rsidR="00FE37C7">
        <w:rPr>
          <w:rFonts w:cs="Arial"/>
        </w:rPr>
        <w:t xml:space="preserve">design is sound).  </w:t>
      </w:r>
      <w:r w:rsidR="00510324">
        <w:rPr>
          <w:rFonts w:cs="Arial"/>
        </w:rPr>
        <w:t>We note that</w:t>
      </w:r>
      <w:r w:rsidR="00622B4A">
        <w:rPr>
          <w:rFonts w:cs="Arial"/>
        </w:rPr>
        <w:t xml:space="preserve"> as the certificate wording is not set out in regulations the Scheme Actuary can amend it, and it would be clearer if the Code said this</w:t>
      </w:r>
      <w:r w:rsidR="00104357">
        <w:rPr>
          <w:rFonts w:cs="Arial"/>
        </w:rPr>
        <w:t>.</w:t>
      </w:r>
    </w:p>
    <w:p w14:paraId="79921119" w14:textId="77777777" w:rsidR="00510324" w:rsidRDefault="00510324" w:rsidP="00072222">
      <w:pPr>
        <w:spacing w:after="0" w:line="250" w:lineRule="exact"/>
        <w:rPr>
          <w:rFonts w:cs="Arial"/>
        </w:rPr>
      </w:pPr>
    </w:p>
    <w:p w14:paraId="20836777" w14:textId="6E60FE47" w:rsidR="00436061" w:rsidRDefault="00FE37C7" w:rsidP="00072222">
      <w:pPr>
        <w:spacing w:after="0" w:line="250" w:lineRule="exact"/>
        <w:rPr>
          <w:rFonts w:cs="Arial"/>
        </w:rPr>
      </w:pPr>
      <w:r>
        <w:rPr>
          <w:rFonts w:cs="Arial"/>
        </w:rPr>
        <w:t>As drafted</w:t>
      </w:r>
      <w:r w:rsidR="00510324">
        <w:rPr>
          <w:rFonts w:cs="Arial"/>
        </w:rPr>
        <w:t xml:space="preserve"> in the Appendix to the draft Code of Practice</w:t>
      </w:r>
      <w:r>
        <w:rPr>
          <w:rFonts w:cs="Arial"/>
        </w:rPr>
        <w:t xml:space="preserve">, we consider that, due to the lack of a definition of soundness, the certificate could be misunderstood or open to legal challenge.  We </w:t>
      </w:r>
      <w:r w:rsidR="00D96DB5">
        <w:rPr>
          <w:rFonts w:cs="Arial"/>
        </w:rPr>
        <w:t>request that</w:t>
      </w:r>
      <w:r w:rsidR="00094D78">
        <w:rPr>
          <w:rFonts w:cs="Arial"/>
        </w:rPr>
        <w:t xml:space="preserve"> the certificate </w:t>
      </w:r>
      <w:r w:rsidR="00D96DB5">
        <w:rPr>
          <w:rFonts w:cs="Arial"/>
        </w:rPr>
        <w:t xml:space="preserve">is extended to </w:t>
      </w:r>
      <w:r w:rsidR="00094D78">
        <w:rPr>
          <w:rFonts w:cs="Arial"/>
        </w:rPr>
        <w:t>include the following additional notes</w:t>
      </w:r>
      <w:r w:rsidR="000A3E7F">
        <w:rPr>
          <w:rFonts w:cs="Arial"/>
        </w:rPr>
        <w:t>, to make it clearer what the certificate is and is not saying</w:t>
      </w:r>
      <w:r w:rsidR="00EA1BC9">
        <w:rPr>
          <w:rFonts w:cs="Arial"/>
        </w:rPr>
        <w:t xml:space="preserve"> and also to </w:t>
      </w:r>
      <w:r w:rsidR="00172845">
        <w:rPr>
          <w:rFonts w:cs="Arial"/>
        </w:rPr>
        <w:t>minimise the chance of</w:t>
      </w:r>
      <w:r w:rsidR="00EA1BC9">
        <w:rPr>
          <w:rFonts w:cs="Arial"/>
        </w:rPr>
        <w:t xml:space="preserve"> actuaries </w:t>
      </w:r>
      <w:r w:rsidR="00172845">
        <w:rPr>
          <w:rFonts w:cs="Arial"/>
        </w:rPr>
        <w:t xml:space="preserve">needing to </w:t>
      </w:r>
      <w:r w:rsidR="00EA1BC9">
        <w:rPr>
          <w:rFonts w:cs="Arial"/>
        </w:rPr>
        <w:t>adopt their own versions of such notes</w:t>
      </w:r>
      <w:r w:rsidR="00094D78">
        <w:rPr>
          <w:rFonts w:cs="Arial"/>
        </w:rPr>
        <w:t xml:space="preserve">.  </w:t>
      </w:r>
      <w:r w:rsidR="00EA1BC9">
        <w:rPr>
          <w:rFonts w:cs="Arial"/>
        </w:rPr>
        <w:t>The</w:t>
      </w:r>
      <w:r w:rsidR="00094D78">
        <w:rPr>
          <w:rFonts w:cs="Arial"/>
        </w:rPr>
        <w:t xml:space="preserve"> </w:t>
      </w:r>
      <w:proofErr w:type="spellStart"/>
      <w:r w:rsidR="002235A0" w:rsidRPr="00436061">
        <w:rPr>
          <w:rFonts w:cs="Arial"/>
        </w:rPr>
        <w:t>IFoA</w:t>
      </w:r>
      <w:proofErr w:type="spellEnd"/>
      <w:r w:rsidR="002235A0" w:rsidRPr="00436061">
        <w:rPr>
          <w:rFonts w:cs="Arial"/>
        </w:rPr>
        <w:t xml:space="preserve"> would </w:t>
      </w:r>
      <w:r w:rsidR="00EA1BC9">
        <w:rPr>
          <w:rFonts w:cs="Arial"/>
        </w:rPr>
        <w:t xml:space="preserve">need to </w:t>
      </w:r>
      <w:r w:rsidR="002235A0" w:rsidRPr="00436061">
        <w:rPr>
          <w:rFonts w:cs="Arial"/>
        </w:rPr>
        <w:t xml:space="preserve">consider </w:t>
      </w:r>
      <w:r w:rsidR="00EA1BC9">
        <w:rPr>
          <w:rFonts w:cs="Arial"/>
        </w:rPr>
        <w:t>separate guidance on some appropriate notes</w:t>
      </w:r>
      <w:r w:rsidR="002235A0" w:rsidRPr="00436061">
        <w:rPr>
          <w:rFonts w:cs="Arial"/>
        </w:rPr>
        <w:t xml:space="preserve"> if they do not feature in the Regulator’s</w:t>
      </w:r>
      <w:r w:rsidR="00EA1BC9">
        <w:rPr>
          <w:rFonts w:cs="Arial"/>
        </w:rPr>
        <w:t xml:space="preserve"> template</w:t>
      </w:r>
      <w:r w:rsidR="002235A0" w:rsidRPr="00436061">
        <w:rPr>
          <w:rFonts w:cs="Arial"/>
        </w:rPr>
        <w:t xml:space="preserve">.  </w:t>
      </w:r>
    </w:p>
    <w:p w14:paraId="62BFC03D" w14:textId="77777777" w:rsidR="00436061" w:rsidRDefault="00436061" w:rsidP="00072222">
      <w:pPr>
        <w:spacing w:after="0" w:line="250" w:lineRule="exact"/>
        <w:rPr>
          <w:rFonts w:cs="Arial"/>
        </w:rPr>
      </w:pPr>
    </w:p>
    <w:p w14:paraId="68E3A897" w14:textId="7980CE5C" w:rsidR="000A3E7F" w:rsidRDefault="00A94D68" w:rsidP="000A3E7F">
      <w:pPr>
        <w:ind w:left="425"/>
        <w:rPr>
          <w:rFonts w:cs="Arial"/>
          <w:color w:val="auto"/>
          <w:szCs w:val="20"/>
        </w:rPr>
      </w:pPr>
      <w:r>
        <w:rPr>
          <w:rFonts w:cs="Arial"/>
          <w:szCs w:val="20"/>
        </w:rPr>
        <w:t>“</w:t>
      </w:r>
      <w:r w:rsidR="000A3E7F" w:rsidRPr="00A94D68">
        <w:rPr>
          <w:rFonts w:cs="Arial"/>
          <w:i/>
          <w:iCs/>
          <w:szCs w:val="20"/>
        </w:rPr>
        <w:t xml:space="preserve">Notes to </w:t>
      </w:r>
      <w:r w:rsidRPr="00A94D68">
        <w:rPr>
          <w:rFonts w:cs="Arial"/>
          <w:i/>
          <w:iCs/>
          <w:szCs w:val="20"/>
        </w:rPr>
        <w:t>viability certificate:</w:t>
      </w:r>
    </w:p>
    <w:p w14:paraId="02D3827C" w14:textId="7573DD91" w:rsidR="000A3E7F" w:rsidRDefault="000A3E7F" w:rsidP="000A3E7F">
      <w:pPr>
        <w:pStyle w:val="ListParagraph"/>
        <w:numPr>
          <w:ilvl w:val="2"/>
          <w:numId w:val="36"/>
        </w:numPr>
        <w:spacing w:after="120" w:line="264" w:lineRule="auto"/>
        <w:ind w:left="1210"/>
        <w:rPr>
          <w:rFonts w:cs="Arial"/>
          <w:i/>
          <w:iCs/>
          <w:szCs w:val="20"/>
        </w:rPr>
      </w:pPr>
      <w:r>
        <w:rPr>
          <w:rFonts w:cs="Arial"/>
          <w:i/>
          <w:iCs/>
        </w:rPr>
        <w:t xml:space="preserve">The term “sound” </w:t>
      </w:r>
      <w:r w:rsidR="00094254">
        <w:rPr>
          <w:rFonts w:cs="Arial"/>
          <w:i/>
          <w:iCs/>
        </w:rPr>
        <w:t>is not defined</w:t>
      </w:r>
      <w:r>
        <w:rPr>
          <w:rFonts w:cs="Arial"/>
          <w:i/>
          <w:iCs/>
        </w:rPr>
        <w:t xml:space="preserve"> in the legislation, </w:t>
      </w:r>
      <w:r w:rsidR="0093742B">
        <w:rPr>
          <w:rFonts w:cs="Arial"/>
          <w:i/>
          <w:iCs/>
        </w:rPr>
        <w:t xml:space="preserve">but </w:t>
      </w:r>
      <w:r w:rsidR="00312C3C">
        <w:rPr>
          <w:rFonts w:cs="Arial"/>
          <w:i/>
          <w:iCs/>
        </w:rPr>
        <w:t>a number of</w:t>
      </w:r>
      <w:r w:rsidR="0093742B">
        <w:rPr>
          <w:rFonts w:cs="Arial"/>
          <w:i/>
          <w:iCs/>
        </w:rPr>
        <w:t xml:space="preserve"> matters to be taken into account by me when providing this certificate and considering whether the design of the scheme is sound are prescribed in Regulation 11(2) of the 2022 Regulations. In undertaking this consideration, </w:t>
      </w:r>
      <w:r>
        <w:rPr>
          <w:rFonts w:cs="Arial"/>
          <w:i/>
          <w:iCs/>
        </w:rPr>
        <w:t xml:space="preserve">I have used </w:t>
      </w:r>
      <w:r w:rsidR="00EA1BC9">
        <w:rPr>
          <w:rFonts w:cs="Arial"/>
          <w:i/>
          <w:iCs/>
        </w:rPr>
        <w:t xml:space="preserve">my professional </w:t>
      </w:r>
      <w:r>
        <w:rPr>
          <w:rFonts w:cs="Arial"/>
          <w:i/>
          <w:iCs/>
        </w:rPr>
        <w:t>judgement, based on the results of relevant actuarial testing and modelling, in forming my opinion.</w:t>
      </w:r>
      <w:r w:rsidR="00094254">
        <w:rPr>
          <w:rFonts w:cs="Arial"/>
          <w:i/>
          <w:iCs/>
        </w:rPr>
        <w:t xml:space="preserve"> .</w:t>
      </w:r>
      <w:r w:rsidR="00E85AC3">
        <w:rPr>
          <w:rFonts w:cs="Arial"/>
          <w:i/>
          <w:iCs/>
        </w:rPr>
        <w:t>Further detail on the data and information used, and considerations made in reaching this opinion are set out in my advice to the Trustee dated [DATE]</w:t>
      </w:r>
      <w:r w:rsidR="00094254">
        <w:rPr>
          <w:rFonts w:cs="Arial"/>
          <w:i/>
          <w:iCs/>
        </w:rPr>
        <w:t>.</w:t>
      </w:r>
    </w:p>
    <w:p w14:paraId="07417C29" w14:textId="55C078D7" w:rsidR="000A3E7F" w:rsidRDefault="000A3E7F" w:rsidP="000A3E7F">
      <w:pPr>
        <w:pStyle w:val="ListParagraph"/>
        <w:numPr>
          <w:ilvl w:val="2"/>
          <w:numId w:val="36"/>
        </w:numPr>
        <w:spacing w:after="120" w:line="264" w:lineRule="auto"/>
        <w:ind w:left="1210"/>
        <w:rPr>
          <w:rFonts w:cs="Arial"/>
          <w:i/>
          <w:iCs/>
        </w:rPr>
      </w:pPr>
      <w:r>
        <w:rPr>
          <w:rFonts w:cs="Arial"/>
          <w:i/>
          <w:iCs/>
        </w:rPr>
        <w:t xml:space="preserve">The Section’s annual pension adjustments are variable, depending on a number of factors including future asset performance and any changes in future to actuarial assumptions.  </w:t>
      </w:r>
      <w:r w:rsidR="00E85AC3">
        <w:rPr>
          <w:rFonts w:cs="Arial"/>
          <w:i/>
          <w:iCs/>
        </w:rPr>
        <w:t>Pension increase levels will inevitably vary from year to year, and there is a possibility that pensions could be reduced in future. An</w:t>
      </w:r>
      <w:r>
        <w:rPr>
          <w:rFonts w:cs="Arial"/>
          <w:i/>
          <w:iCs/>
        </w:rPr>
        <w:t xml:space="preserve"> opinion that the design </w:t>
      </w:r>
      <w:r w:rsidR="00A31931">
        <w:rPr>
          <w:rFonts w:cs="Arial"/>
          <w:i/>
          <w:iCs/>
        </w:rPr>
        <w:t xml:space="preserve">of the scheme </w:t>
      </w:r>
      <w:r>
        <w:rPr>
          <w:rFonts w:cs="Arial"/>
          <w:i/>
          <w:iCs/>
        </w:rPr>
        <w:t xml:space="preserve">is sound is not </w:t>
      </w:r>
      <w:r w:rsidR="00E85AC3">
        <w:rPr>
          <w:rFonts w:cs="Arial"/>
          <w:i/>
          <w:iCs/>
        </w:rPr>
        <w:t xml:space="preserve">an opinion that any </w:t>
      </w:r>
      <w:r>
        <w:rPr>
          <w:rFonts w:cs="Arial"/>
          <w:i/>
          <w:iCs/>
        </w:rPr>
        <w:t>particular pension adjustment level</w:t>
      </w:r>
      <w:r w:rsidR="00E85AC3">
        <w:rPr>
          <w:rFonts w:cs="Arial"/>
          <w:i/>
          <w:iCs/>
        </w:rPr>
        <w:t xml:space="preserve"> will be achieved</w:t>
      </w:r>
      <w:r>
        <w:rPr>
          <w:rFonts w:cs="Arial"/>
          <w:i/>
          <w:iCs/>
        </w:rPr>
        <w:t xml:space="preserve">, </w:t>
      </w:r>
      <w:r w:rsidR="00E85AC3">
        <w:rPr>
          <w:rFonts w:cs="Arial"/>
          <w:i/>
          <w:iCs/>
        </w:rPr>
        <w:t xml:space="preserve">and does not preclude the possibility </w:t>
      </w:r>
      <w:r>
        <w:rPr>
          <w:rFonts w:cs="Arial"/>
          <w:i/>
          <w:iCs/>
        </w:rPr>
        <w:t>that pensions will be reduced in future.</w:t>
      </w:r>
    </w:p>
    <w:p w14:paraId="01A2B8B4" w14:textId="1DEFB2DF" w:rsidR="0012080B" w:rsidRPr="0012080B" w:rsidRDefault="002B1834" w:rsidP="0012080B">
      <w:pPr>
        <w:pStyle w:val="ListParagraph"/>
        <w:numPr>
          <w:ilvl w:val="2"/>
          <w:numId w:val="36"/>
        </w:numPr>
        <w:spacing w:after="120" w:line="264" w:lineRule="auto"/>
        <w:ind w:left="1210"/>
        <w:rPr>
          <w:i/>
        </w:rPr>
      </w:pPr>
      <w:r>
        <w:rPr>
          <w:rFonts w:cs="Arial"/>
          <w:i/>
          <w:iCs/>
        </w:rPr>
        <w:t>Separately to my issuing of this certificate, t</w:t>
      </w:r>
      <w:r w:rsidR="0042798F">
        <w:rPr>
          <w:rFonts w:cs="Arial"/>
          <w:i/>
          <w:iCs/>
        </w:rPr>
        <w:t xml:space="preserve">he </w:t>
      </w:r>
      <w:r w:rsidR="00156CFB">
        <w:rPr>
          <w:rFonts w:cs="Arial"/>
          <w:i/>
          <w:iCs/>
        </w:rPr>
        <w:t xml:space="preserve">scheme </w:t>
      </w:r>
      <w:r w:rsidR="00EA1BC9">
        <w:rPr>
          <w:rFonts w:cs="Arial"/>
          <w:i/>
          <w:iCs/>
        </w:rPr>
        <w:t>t</w:t>
      </w:r>
      <w:r w:rsidR="0042798F">
        <w:rPr>
          <w:rFonts w:cs="Arial"/>
          <w:i/>
          <w:iCs/>
        </w:rPr>
        <w:t xml:space="preserve">rustees </w:t>
      </w:r>
      <w:r w:rsidR="00156CFB">
        <w:rPr>
          <w:rFonts w:cs="Arial"/>
          <w:i/>
          <w:iCs/>
        </w:rPr>
        <w:t xml:space="preserve">must </w:t>
      </w:r>
      <w:r w:rsidR="00DD067D">
        <w:rPr>
          <w:rFonts w:cs="Arial"/>
          <w:i/>
          <w:iCs/>
        </w:rPr>
        <w:t>also</w:t>
      </w:r>
      <w:r w:rsidR="00156CFB">
        <w:rPr>
          <w:rFonts w:cs="Arial"/>
          <w:i/>
          <w:iCs/>
        </w:rPr>
        <w:t xml:space="preserve"> reach </w:t>
      </w:r>
      <w:r w:rsidR="00DD067D">
        <w:rPr>
          <w:rFonts w:cs="Arial"/>
          <w:i/>
          <w:iCs/>
        </w:rPr>
        <w:t>their own</w:t>
      </w:r>
      <w:r w:rsidR="00156CFB">
        <w:rPr>
          <w:rFonts w:cs="Arial"/>
          <w:i/>
          <w:iCs/>
        </w:rPr>
        <w:t xml:space="preserve"> opinion on </w:t>
      </w:r>
      <w:r w:rsidR="00EA1BC9">
        <w:rPr>
          <w:rFonts w:cs="Arial"/>
          <w:i/>
          <w:iCs/>
        </w:rPr>
        <w:t xml:space="preserve">whether the scheme </w:t>
      </w:r>
      <w:r w:rsidR="00F15EF8">
        <w:rPr>
          <w:rFonts w:cs="Arial"/>
          <w:i/>
          <w:iCs/>
        </w:rPr>
        <w:t xml:space="preserve">design </w:t>
      </w:r>
      <w:r w:rsidR="00EA1BC9">
        <w:rPr>
          <w:rFonts w:cs="Arial"/>
          <w:i/>
          <w:iCs/>
        </w:rPr>
        <w:t>is</w:t>
      </w:r>
      <w:r w:rsidR="00F15EF8">
        <w:rPr>
          <w:rFonts w:cs="Arial"/>
          <w:i/>
          <w:iCs/>
        </w:rPr>
        <w:t xml:space="preserve"> sound</w:t>
      </w:r>
      <w:r w:rsidR="00EA1BC9">
        <w:rPr>
          <w:rFonts w:cs="Arial"/>
          <w:i/>
          <w:iCs/>
        </w:rPr>
        <w:t xml:space="preserve">, as required by </w:t>
      </w:r>
      <w:r w:rsidR="000A4456">
        <w:rPr>
          <w:rFonts w:cs="Arial"/>
          <w:i/>
          <w:iCs/>
        </w:rPr>
        <w:t>section 13(1) of the Pension Schemes Act 2021, and the</w:t>
      </w:r>
      <w:r w:rsidR="000A4456" w:rsidRPr="0073774F">
        <w:rPr>
          <w:rFonts w:cs="Arial"/>
          <w:i/>
          <w:iCs/>
        </w:rPr>
        <w:t xml:space="preserve"> Pensi</w:t>
      </w:r>
      <w:r w:rsidR="000A4456">
        <w:rPr>
          <w:rFonts w:cs="Arial"/>
          <w:i/>
          <w:iCs/>
        </w:rPr>
        <w:t>o</w:t>
      </w:r>
      <w:r w:rsidR="000A4456" w:rsidRPr="0073774F">
        <w:rPr>
          <w:rFonts w:cs="Arial"/>
          <w:i/>
          <w:iCs/>
        </w:rPr>
        <w:t xml:space="preserve">ns </w:t>
      </w:r>
      <w:r w:rsidR="000A4456">
        <w:rPr>
          <w:rFonts w:cs="Arial"/>
          <w:i/>
          <w:iCs/>
        </w:rPr>
        <w:t>Regulator must make its own corresponding decision</w:t>
      </w:r>
      <w:r w:rsidR="000A4456" w:rsidRPr="000A4456">
        <w:rPr>
          <w:rFonts w:cs="Arial"/>
          <w:i/>
          <w:iCs/>
        </w:rPr>
        <w:t xml:space="preserve"> </w:t>
      </w:r>
      <w:r w:rsidR="000A4456">
        <w:rPr>
          <w:rFonts w:cs="Arial"/>
          <w:i/>
          <w:iCs/>
        </w:rPr>
        <w:lastRenderedPageBreak/>
        <w:t>under section 9(3)(b) of that Act.</w:t>
      </w:r>
      <w:r w:rsidR="00A31931">
        <w:rPr>
          <w:rFonts w:cs="Arial"/>
          <w:i/>
          <w:iCs/>
        </w:rPr>
        <w:t xml:space="preserve"> Each decision maker has a separate role and must have regard to different prescribed </w:t>
      </w:r>
      <w:r w:rsidR="0073774F">
        <w:rPr>
          <w:rFonts w:cs="Arial"/>
          <w:i/>
          <w:iCs/>
        </w:rPr>
        <w:t>matters</w:t>
      </w:r>
      <w:r w:rsidR="00A31931">
        <w:rPr>
          <w:rFonts w:cs="Arial"/>
          <w:i/>
          <w:iCs/>
        </w:rPr>
        <w:t xml:space="preserve">. </w:t>
      </w:r>
      <w:r w:rsidR="0012080B">
        <w:rPr>
          <w:rFonts w:cs="Arial"/>
          <w:i/>
          <w:iCs/>
        </w:rPr>
        <w:t xml:space="preserve">As such, this certificate </w:t>
      </w:r>
      <w:r w:rsidR="00A31931">
        <w:rPr>
          <w:rFonts w:cs="Arial"/>
          <w:i/>
          <w:iCs/>
        </w:rPr>
        <w:t>is a necessary but</w:t>
      </w:r>
      <w:r w:rsidR="0012080B">
        <w:rPr>
          <w:rFonts w:cs="Arial"/>
          <w:i/>
          <w:iCs/>
        </w:rPr>
        <w:t xml:space="preserve"> not sufficient </w:t>
      </w:r>
      <w:r w:rsidR="0073774F">
        <w:rPr>
          <w:rFonts w:cs="Arial"/>
          <w:i/>
          <w:iCs/>
        </w:rPr>
        <w:t xml:space="preserve">document </w:t>
      </w:r>
      <w:r w:rsidR="00D36BC9">
        <w:rPr>
          <w:rFonts w:cs="Arial"/>
          <w:i/>
          <w:iCs/>
        </w:rPr>
        <w:t>to determine</w:t>
      </w:r>
      <w:r w:rsidR="0073774F">
        <w:rPr>
          <w:rFonts w:cs="Arial"/>
          <w:i/>
          <w:iCs/>
        </w:rPr>
        <w:t xml:space="preserve"> ‘soundness’ </w:t>
      </w:r>
      <w:r w:rsidR="00D36BC9">
        <w:rPr>
          <w:rFonts w:cs="Arial"/>
          <w:i/>
          <w:iCs/>
        </w:rPr>
        <w:t>of the scheme</w:t>
      </w:r>
      <w:r w:rsidR="00B82632">
        <w:rPr>
          <w:rFonts w:cs="Arial"/>
          <w:i/>
          <w:iCs/>
        </w:rPr>
        <w:t>;</w:t>
      </w:r>
      <w:r w:rsidR="002124C4">
        <w:rPr>
          <w:rFonts w:cs="Arial"/>
          <w:i/>
          <w:iCs/>
        </w:rPr>
        <w:t xml:space="preserve"> the scheme </w:t>
      </w:r>
      <w:r w:rsidR="00B82632">
        <w:rPr>
          <w:rFonts w:cs="Arial"/>
          <w:i/>
          <w:iCs/>
        </w:rPr>
        <w:t xml:space="preserve">will be </w:t>
      </w:r>
      <w:r w:rsidR="002124C4">
        <w:rPr>
          <w:rFonts w:cs="Arial"/>
          <w:i/>
          <w:iCs/>
        </w:rPr>
        <w:t xml:space="preserve">treated </w:t>
      </w:r>
      <w:r w:rsidR="00F6700C">
        <w:rPr>
          <w:rFonts w:cs="Arial"/>
          <w:i/>
          <w:iCs/>
        </w:rPr>
        <w:t xml:space="preserve">as sound only if </w:t>
      </w:r>
      <w:r w:rsidR="0012080B">
        <w:rPr>
          <w:rFonts w:cs="Arial"/>
          <w:i/>
          <w:iCs/>
        </w:rPr>
        <w:t xml:space="preserve">the Trustees </w:t>
      </w:r>
      <w:r w:rsidR="00F6700C">
        <w:rPr>
          <w:rFonts w:cs="Arial"/>
          <w:i/>
          <w:iCs/>
        </w:rPr>
        <w:t xml:space="preserve">and </w:t>
      </w:r>
      <w:r w:rsidR="0012080B">
        <w:rPr>
          <w:rFonts w:cs="Arial"/>
          <w:i/>
          <w:iCs/>
        </w:rPr>
        <w:t xml:space="preserve">the Pensions Regulator </w:t>
      </w:r>
      <w:r w:rsidR="00F6700C">
        <w:rPr>
          <w:rFonts w:cs="Arial"/>
          <w:i/>
          <w:iCs/>
        </w:rPr>
        <w:t xml:space="preserve">also </w:t>
      </w:r>
      <w:r w:rsidR="00B82632">
        <w:rPr>
          <w:rFonts w:cs="Arial"/>
          <w:i/>
          <w:iCs/>
        </w:rPr>
        <w:t>give</w:t>
      </w:r>
      <w:r w:rsidR="0012080B">
        <w:rPr>
          <w:rFonts w:cs="Arial"/>
          <w:i/>
          <w:iCs/>
        </w:rPr>
        <w:t xml:space="preserve"> </w:t>
      </w:r>
      <w:r w:rsidR="00F6700C">
        <w:rPr>
          <w:rFonts w:cs="Arial"/>
          <w:i/>
          <w:iCs/>
        </w:rPr>
        <w:t>this</w:t>
      </w:r>
      <w:r w:rsidR="00B82632">
        <w:rPr>
          <w:rFonts w:cs="Arial"/>
          <w:i/>
          <w:iCs/>
        </w:rPr>
        <w:t xml:space="preserve"> opinion</w:t>
      </w:r>
      <w:r w:rsidR="0012080B">
        <w:rPr>
          <w:rFonts w:cs="Arial"/>
          <w:i/>
          <w:iCs/>
        </w:rPr>
        <w:t>.</w:t>
      </w:r>
    </w:p>
    <w:p w14:paraId="7644D6D7" w14:textId="3E689545" w:rsidR="000A3E7F" w:rsidRDefault="000A3E7F" w:rsidP="000A3E7F">
      <w:pPr>
        <w:pStyle w:val="ListParagraph"/>
        <w:numPr>
          <w:ilvl w:val="2"/>
          <w:numId w:val="36"/>
        </w:numPr>
        <w:spacing w:after="120" w:line="264" w:lineRule="auto"/>
        <w:ind w:left="1210"/>
        <w:rPr>
          <w:rFonts w:cs="Arial"/>
          <w:i/>
          <w:iCs/>
        </w:rPr>
      </w:pPr>
      <w:r>
        <w:rPr>
          <w:rFonts w:cs="Arial"/>
          <w:i/>
          <w:iCs/>
        </w:rPr>
        <w:t>My opinion does not preclude the scheme’s governing bodies from deciding to close or wind up the scheme.  “</w:t>
      </w:r>
    </w:p>
    <w:p w14:paraId="2D03F9A6" w14:textId="77777777" w:rsidR="00436061" w:rsidRDefault="00436061" w:rsidP="00436061">
      <w:pPr>
        <w:pStyle w:val="ListParagraph"/>
        <w:spacing w:after="0" w:line="250" w:lineRule="exact"/>
        <w:ind w:left="360"/>
        <w:rPr>
          <w:rFonts w:cs="Arial"/>
        </w:rPr>
      </w:pPr>
    </w:p>
    <w:p w14:paraId="1CAF37AD" w14:textId="4566DC9E" w:rsidR="00436061" w:rsidRPr="00436061" w:rsidRDefault="00E53940" w:rsidP="00436061">
      <w:pPr>
        <w:spacing w:after="0" w:line="250" w:lineRule="exact"/>
        <w:rPr>
          <w:rFonts w:cs="Arial"/>
        </w:rPr>
      </w:pPr>
      <w:r>
        <w:rPr>
          <w:rFonts w:cs="Arial"/>
        </w:rPr>
        <w:t>Finally</w:t>
      </w:r>
      <w:r w:rsidR="00436061" w:rsidRPr="00436061">
        <w:rPr>
          <w:rFonts w:cs="Arial"/>
        </w:rPr>
        <w:t xml:space="preserve">, we question whether the Code is the right place for the template certificate, noting that the template might need to change to allow for </w:t>
      </w:r>
      <w:r w:rsidR="00357E72">
        <w:rPr>
          <w:rFonts w:cs="Arial"/>
        </w:rPr>
        <w:t>lessons learned</w:t>
      </w:r>
      <w:r w:rsidR="00436061" w:rsidRPr="00436061">
        <w:rPr>
          <w:rFonts w:cs="Arial"/>
        </w:rPr>
        <w:t xml:space="preserve"> from experience, and the Regulator might wish to do this without going through the process required to change the Code</w:t>
      </w:r>
      <w:r w:rsidR="000A4456">
        <w:rPr>
          <w:rFonts w:cs="Arial"/>
        </w:rPr>
        <w:t>, particularly, for example, if it found the notes needed adjustment</w:t>
      </w:r>
      <w:r w:rsidR="00436061" w:rsidRPr="00436061">
        <w:rPr>
          <w:rFonts w:cs="Arial"/>
        </w:rPr>
        <w:t xml:space="preserve">.  </w:t>
      </w:r>
    </w:p>
    <w:p w14:paraId="76C920EF" w14:textId="77777777" w:rsidR="00436061" w:rsidRPr="00436061" w:rsidRDefault="00436061" w:rsidP="00436061">
      <w:pPr>
        <w:spacing w:after="120" w:line="264" w:lineRule="auto"/>
        <w:rPr>
          <w:rFonts w:cs="Arial"/>
          <w:i/>
          <w:iCs/>
        </w:rPr>
      </w:pPr>
    </w:p>
    <w:sectPr w:rsidR="00436061" w:rsidRPr="00436061" w:rsidSect="00990DEA">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3DBC" w14:textId="77777777" w:rsidR="00831A06" w:rsidRDefault="00831A06" w:rsidP="00B652E6">
      <w:pPr>
        <w:spacing w:after="0" w:line="240" w:lineRule="auto"/>
      </w:pPr>
      <w:r>
        <w:separator/>
      </w:r>
    </w:p>
  </w:endnote>
  <w:endnote w:type="continuationSeparator" w:id="0">
    <w:p w14:paraId="4EE3403E" w14:textId="77777777" w:rsidR="00831A06" w:rsidRDefault="00831A06" w:rsidP="00B652E6">
      <w:pPr>
        <w:spacing w:after="0" w:line="240" w:lineRule="auto"/>
      </w:pPr>
      <w:r>
        <w:continuationSeparator/>
      </w:r>
    </w:p>
  </w:endnote>
  <w:endnote w:type="continuationNotice" w:id="1">
    <w:p w14:paraId="32D78DB3" w14:textId="77777777" w:rsidR="00831A06" w:rsidRDefault="00831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24B1" w14:textId="77777777" w:rsidR="00421032" w:rsidRDefault="00421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59B5" w14:textId="77777777" w:rsidR="00B652E6" w:rsidRDefault="009C6C32">
    <w:pPr>
      <w:pStyle w:val="Footer"/>
    </w:pPr>
    <w:r>
      <w:rPr>
        <w:noProof/>
        <w:lang w:eastAsia="en-GB"/>
      </w:rPr>
      <mc:AlternateContent>
        <mc:Choice Requires="wps">
          <w:drawing>
            <wp:anchor distT="0" distB="0" distL="114300" distR="114300" simplePos="0" relativeHeight="251697152" behindDoc="0" locked="0" layoutInCell="1" allowOverlap="1" wp14:anchorId="10EBB755" wp14:editId="3DE5055B">
              <wp:simplePos x="0" y="0"/>
              <wp:positionH relativeFrom="column">
                <wp:posOffset>0</wp:posOffset>
              </wp:positionH>
              <wp:positionV relativeFrom="paragraph">
                <wp:posOffset>74930</wp:posOffset>
              </wp:positionV>
              <wp:extent cx="61245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496009" id="Straight Connector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8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IjwgEAANYDAAAOAAAAZHJzL2Uyb0RvYy54bWysU02P0zAQvSPxHyzfqZOK3UVR0z10BRcE&#10;FQs/wOuMG0v+0tg06b9n7LbZFSAhEBfH45k3897MZHM/O8uOgMkE3/N21XAGXoXB+EPPv319/+Yd&#10;ZylLP0gbPPT8BInfb1+/2kyxg3UYgx0AGSXxqZtiz8ecYydEUiM4mVYhgienDuhkJhMPYkA5UXZn&#10;xbppbsUUcIgYFKRErw9nJ9/W/FqDyp+1TpCZ7Tlxy/XEej6VU2w3sjugjKNRFxryH1g4aTwVXVI9&#10;yCzZdzS/pHJGYUhB55UKTgStjYKqgdS0zU9qHkcZoWqh5qS4tCn9v7Tq03GPzAw0uzVnXjqa0WNG&#10;aQ5jZrvgPXUwICMndWqKqSPAzu/xYqW4xyJ71ujKlwSxuXb3tHQX5swUPd6267c3dzecqatPPAMj&#10;pvwBgmPl0nNrfBEuO3n8mDIVo9BrSHm2nk2F8l1TRygKszOXessnC+ewL6BJHVVva7q6V7CzyI6S&#10;NkIqBT63RRsVsJ6iC0wbaxdg82fgJb5Aoe7c34AXRK0cfF7AzviAv6ue5ytlfY4n+i90l+tTGE51&#10;StVBy1MVXha9bOdLu8Kff8ftDwAAAP//AwBQSwMEFAAGAAgAAAAhACQ09/DaAAAABgEAAA8AAABk&#10;cnMvZG93bnJldi54bWxMj8FOwzAQRO9I/IO1SNyoUwSFpnEqhASIExAqVb1t4yWJaq9D7Lbh71nE&#10;AY47s5p5UyxH79SBhtgFNjCdZKCI62A7bgys3h8ubkHFhGzRBSYDXxRhWZ6eFJjbcOQ3OlSpURLC&#10;MUcDbUp9rnWsW/IYJ6EnFu8jDB6TnEOj7YBHCfdOX2bZTHvsWBpa7Om+pXpX7b2UPN088+qV5l32&#10;6V7iBte7x2ptzPnZeLcAlWhMf8/wgy/oUArTNuzZRuUMyJAk6lT4xZ3Prq5BbX8FXRb6P375DQAA&#10;//8DAFBLAQItABQABgAIAAAAIQC2gziS/gAAAOEBAAATAAAAAAAAAAAAAAAAAAAAAABbQ29udGVu&#10;dF9UeXBlc10ueG1sUEsBAi0AFAAGAAgAAAAhADj9If/WAAAAlAEAAAsAAAAAAAAAAAAAAAAALwEA&#10;AF9yZWxzLy5yZWxzUEsBAi0AFAAGAAgAAAAhAHE18iPCAQAA1gMAAA4AAAAAAAAAAAAAAAAALgIA&#10;AGRycy9lMm9Eb2MueG1sUEsBAi0AFAAGAAgAAAAhACQ09/DaAAAABgEAAA8AAAAAAAAAAAAAAAAA&#10;HAQAAGRycy9kb3ducmV2LnhtbFBLBQYAAAAABAAEAPMAAAAjBQAAAAA=&#10;" strokecolor="#cda115 [3044]" strokeweight="1pt"/>
          </w:pict>
        </mc:Fallback>
      </mc:AlternateContent>
    </w:r>
    <w:r>
      <w:rPr>
        <w:noProof/>
        <w:lang w:eastAsia="en-GB"/>
      </w:rPr>
      <mc:AlternateContent>
        <mc:Choice Requires="wps">
          <w:drawing>
            <wp:anchor distT="0" distB="0" distL="114300" distR="114300" simplePos="0" relativeHeight="251698176" behindDoc="0" locked="0" layoutInCell="1" allowOverlap="1" wp14:anchorId="160B46DB" wp14:editId="49AA0E62">
              <wp:simplePos x="0" y="0"/>
              <wp:positionH relativeFrom="column">
                <wp:posOffset>4680585</wp:posOffset>
              </wp:positionH>
              <wp:positionV relativeFrom="paragraph">
                <wp:posOffset>133985</wp:posOffset>
              </wp:positionV>
              <wp:extent cx="14478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7800" cy="247650"/>
                      </a:xfrm>
                      <a:prstGeom prst="rect">
                        <a:avLst/>
                      </a:prstGeom>
                      <a:solidFill>
                        <a:schemeClr val="lt1"/>
                      </a:solidFill>
                      <a:ln w="6350">
                        <a:noFill/>
                      </a:ln>
                    </wps:spPr>
                    <wps:txbx>
                      <w:txbxContent>
                        <w:p w14:paraId="3E10048E" w14:textId="77777777"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0B46DB" id="_x0000_t202" coordsize="21600,21600" o:spt="202" path="m,l,21600r21600,l21600,xe">
              <v:stroke joinstyle="miter"/>
              <v:path gradientshapeok="t" o:connecttype="rect"/>
            </v:shapetype>
            <v:shape id="Text Box 13" o:spid="_x0000_s1026" type="#_x0000_t202" style="position:absolute;margin-left:368.55pt;margin-top:10.55pt;width:114pt;height: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7fPAIAAHMEAAAOAAAAZHJzL2Uyb0RvYy54bWysVMlu2zAQvRfoPxC813IcZ4EQOXAduChg&#10;JAGcImeaomwBFIclaUvu1/eRsrK1p6IXajgznOW9Gd3cdo1mB+V8TabgZ6MxZ8pIKmuzLfiPp+WX&#10;a858EKYUmowq+FF5fjv7/Ommtbma0I50qRxDEOPz1hZ8F4LNs8zLnWqEH5FVBsaKXCMCrm6blU60&#10;iN7obDIeX2YtudI6ksp7aO96I5+l+FWlZHioKq8C0wVHbSGdLp2beGazG5FvnbC7Wp7KEP9QRSNq&#10;g6Qvoe5EEGzv6j9CNbV05KkKI0lNRlVVS5V6QDdn4w/drHfCqtQLwPH2BSb//8LK+8OjY3UJ7s45&#10;M6IBR0+qC+wrdQwq4NNan8NtbeEYOujhO+g9lLHtrnJN/KIhBjuQPr6gG6PJ+Gg6vboewyRhm0yv&#10;Li8S/Nnra+t8+KaoYVEouAN7CVRxWPmASuA6uMRknnRdLmut0yVOjFpoxw4CXOuQasSLd17asLbg&#10;l+dIHR8Zis/7yNogQey17ylKodt0JwA2VB7Rv6N+gryVyxpFroQPj8JhZNAX1iA84Kg0IQmdJM52&#10;5H79TR/9wSSsnLUYwYL7n3vhFGf6uwHHcV6TML24muDiBu3mrdbsmwWh4zMsmpVJjL5BD2LlqHnG&#10;lsxjNpiEkchZ8DCIi9AvBLZMqvk8OWE6rQgrs7Yyho5gReifumfh7ImfAGbvaRhSkX+gqfftYZ7v&#10;A1V14jAC26N5whuTnag9bWFcnbf35PX6r5j9BgAA//8DAFBLAwQUAAYACAAAACEA4U9GId8AAAAJ&#10;AQAADwAAAGRycy9kb3ducmV2LnhtbEyPwU7DMAyG70i8Q2QkbixtJ9rR1Z0YEjdAMNi0Y9Z4bUWT&#10;VE3WdW+POcHJtvzp9+diNZlOjDT41lmEeBaBIFs53doa4evz+W4BwgdlteqcJYQLeViV11eFyrU7&#10;2w8aN6EWHGJ9rhCaEPpcSl81ZJSfuZ4s745uMCrwONRSD+rM4aaTSRSl0qjW8oVG9fTUUPW9ORmE&#10;/e6SzN/G7frdb4+ZWrsFve5fEG9vpscliEBT+IPhV5/VoWSngztZ7UWHkM2zmFGEJObKwEN6z80B&#10;IY1ikGUh/39Q/gAAAP//AwBQSwECLQAUAAYACAAAACEAtoM4kv4AAADhAQAAEwAAAAAAAAAAAAAA&#10;AAAAAAAAW0NvbnRlbnRfVHlwZXNdLnhtbFBLAQItABQABgAIAAAAIQA4/SH/1gAAAJQBAAALAAAA&#10;AAAAAAAAAAAAAC8BAABfcmVscy8ucmVsc1BLAQItABQABgAIAAAAIQBeP67fPAIAAHMEAAAOAAAA&#10;AAAAAAAAAAAAAC4CAABkcnMvZTJvRG9jLnhtbFBLAQItABQABgAIAAAAIQDhT0Yh3wAAAAkBAAAP&#10;AAAAAAAAAAAAAAAAAJYEAABkcnMvZG93bnJldi54bWxQSwUGAAAAAAQABADzAAAAogUAAAAA&#10;" fillcolor="white [3201]" stroked="f" strokeweight=".5pt">
              <v:textbox inset="0,,0">
                <w:txbxContent>
                  <w:p w14:paraId="3E10048E" w14:textId="77777777"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v:textbox>
            </v:shape>
          </w:pict>
        </mc:Fallback>
      </mc:AlternateContent>
    </w:r>
  </w:p>
  <w:p w14:paraId="5F6A4DC4" w14:textId="38D56D72" w:rsidR="00B652E6" w:rsidRPr="009C6C32" w:rsidRDefault="00734464" w:rsidP="009C6C32">
    <w:pPr>
      <w:rPr>
        <w:rFonts w:cs="Arial"/>
        <w:sz w:val="18"/>
        <w:szCs w:val="18"/>
      </w:rPr>
    </w:pPr>
    <w:r w:rsidRPr="009C6C32">
      <w:rPr>
        <w:rFonts w:cs="Arial"/>
        <w:sz w:val="18"/>
        <w:szCs w:val="18"/>
      </w:rPr>
      <w:fldChar w:fldCharType="begin"/>
    </w:r>
    <w:r w:rsidRPr="009C6C32">
      <w:rPr>
        <w:rFonts w:cs="Arial"/>
        <w:sz w:val="18"/>
        <w:szCs w:val="18"/>
      </w:rPr>
      <w:instrText xml:space="preserve"> PAGE   \* MERGEFORMAT </w:instrText>
    </w:r>
    <w:r w:rsidRPr="009C6C32">
      <w:rPr>
        <w:rFonts w:cs="Arial"/>
        <w:sz w:val="18"/>
        <w:szCs w:val="18"/>
      </w:rPr>
      <w:fldChar w:fldCharType="separate"/>
    </w:r>
    <w:r w:rsidR="00203E0A">
      <w:rPr>
        <w:rFonts w:cs="Arial"/>
        <w:noProof/>
        <w:sz w:val="18"/>
        <w:szCs w:val="18"/>
      </w:rPr>
      <w:t>2</w:t>
    </w:r>
    <w:r w:rsidRPr="009C6C32">
      <w:rPr>
        <w:rFonts w:cs="Arial"/>
        <w:noProof/>
        <w:sz w:val="18"/>
        <w:szCs w:val="18"/>
      </w:rPr>
      <w:fldChar w:fldCharType="end"/>
    </w:r>
    <w:r w:rsidR="002F15BC" w:rsidRPr="009C6C32">
      <w:rPr>
        <w:rFonts w:cs="Arial"/>
        <w:sz w:val="18"/>
        <w:szCs w:val="18"/>
      </w:rPr>
      <w:tab/>
    </w:r>
    <w:r w:rsidR="002F15BC" w:rsidRPr="009C6C32">
      <w:rPr>
        <w:rFonts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4A58" w14:textId="77777777" w:rsidR="00990DEA" w:rsidRDefault="00990DEA">
    <w:pPr>
      <w:pStyle w:val="Footer"/>
    </w:pPr>
    <w:r>
      <w:rPr>
        <w:noProof/>
        <w:lang w:eastAsia="en-GB"/>
      </w:rPr>
      <mc:AlternateContent>
        <mc:Choice Requires="wps">
          <w:drawing>
            <wp:anchor distT="0" distB="0" distL="114300" distR="114300" simplePos="0" relativeHeight="251700224" behindDoc="0" locked="1" layoutInCell="1" allowOverlap="1" wp14:anchorId="1D111F54" wp14:editId="34EB9589">
              <wp:simplePos x="0" y="0"/>
              <wp:positionH relativeFrom="column">
                <wp:posOffset>-12065</wp:posOffset>
              </wp:positionH>
              <wp:positionV relativeFrom="page">
                <wp:posOffset>9163050</wp:posOffset>
              </wp:positionV>
              <wp:extent cx="6124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46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F2A488" id="Straight Connector 1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pt,721.5pt" to="481.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7SwgEAANYDAAAOAAAAZHJzL2Uyb0RvYy54bWysU01v2zAMvQ/YfxB0X2wHRVYYcXpI0V2K&#10;LVi3H6DKVCxAX6DU2Pn3o5TELdYCxYZeZFHkI98j6fXNZA07AEbtXcebRc0ZOOl77fYd//3r7ss1&#10;ZzEJ1wvjHXT8CJHfbD5/Wo+hhaUfvOkBGSVxsR1Dx4eUQltVUQ5gRVz4AI6cyqMViUzcVz2KkbJb&#10;Uy3relWNHvuAXkKM9Hp7cvJNya8UyPRDqQiJmY4Tt1ROLOdjPqvNWrR7FGHQ8kxD/AcLK7SjonOq&#10;W5EEe0L9KpXVEn30Ki2kt5VXSksoGkhNU/+l5mEQAYoWak4Mc5vix6WV3w87ZLqn2V1x5oSlGT0k&#10;FHo/JLb1zlEHPTJyUqfGEFsCbN0Oz1YMO8yyJ4U2f0kQm0p3j3N3YUpM0uOqWV6trmkI8uKrnoEB&#10;Y/oG3rJ86bjRLgsXrTjcx0TFKPQSkp+NYyNRXn6tywirzOzEpdzS0cAp7CcoUkfVm5Ku7BVsDbKD&#10;oI0QUoJLTdZGBYyj6AxT2pgZWL8PPMdnKJSd+xfwjCiVvUsz2Grn8a3qabpQVqd4ov9Cd74++v5Y&#10;plQctDxF4XnR83a+tAv8+Xfc/AEAAP//AwBQSwMEFAAGAAgAAAAhAF9Y/kXeAAAADAEAAA8AAABk&#10;cnMvZG93bnJldi54bWxMj01Lw0AQhu+C/2EZwVu7aS2xidkUEVQ8WWOh9LbNjkno7mzMbtv47x0P&#10;osd55+H9KFajs+KEQ+g8KZhNExBItTcdNQo274+TJYgQNRltPaGCLwywKi8vCp0bf6Y3PFWxEWxC&#10;IdcK2hj7XMpQt+h0mPoeiX8ffnA68jk00gz6zObOynmSpNLpjjih1T0+tFgfqqPjkOfbF9qsMeuS&#10;T/sadnp7eKq2Sl1fjfd3ICKO8Q+Gn/pcHUrutPdHMkFYBZNZxiTri8UNj2IiS+cpiP2vJMtC/h9R&#10;fgMAAP//AwBQSwECLQAUAAYACAAAACEAtoM4kv4AAADhAQAAEwAAAAAAAAAAAAAAAAAAAAAAW0Nv&#10;bnRlbnRfVHlwZXNdLnhtbFBLAQItABQABgAIAAAAIQA4/SH/1gAAAJQBAAALAAAAAAAAAAAAAAAA&#10;AC8BAABfcmVscy8ucmVsc1BLAQItABQABgAIAAAAIQDe6H7SwgEAANYDAAAOAAAAAAAAAAAAAAAA&#10;AC4CAABkcnMvZTJvRG9jLnhtbFBLAQItABQABgAIAAAAIQBfWP5F3gAAAAwBAAAPAAAAAAAAAAAA&#10;AAAAABwEAABkcnMvZG93bnJldi54bWxQSwUGAAAAAAQABADzAAAAJwUAAAAA&#10;" strokecolor="#cda115 [3044]" strokeweight="1pt">
              <w10:wrap anchory="page"/>
              <w10:anchorlock/>
            </v:line>
          </w:pict>
        </mc:Fallback>
      </mc:AlternateContent>
    </w:r>
  </w:p>
  <w:p w14:paraId="14A2C479" w14:textId="77777777" w:rsidR="00990DEA" w:rsidRDefault="00990DEA">
    <w:pPr>
      <w:pStyle w:val="Footer"/>
    </w:pPr>
    <w:r>
      <w:rPr>
        <w:noProof/>
        <w:lang w:eastAsia="en-GB"/>
      </w:rPr>
      <mc:AlternateContent>
        <mc:Choice Requires="wps">
          <w:drawing>
            <wp:anchor distT="0" distB="0" distL="114300" distR="114300" simplePos="0" relativeHeight="251703296" behindDoc="0" locked="1" layoutInCell="1" allowOverlap="1" wp14:anchorId="4CD46F34" wp14:editId="0CBAEDD8">
              <wp:simplePos x="0" y="0"/>
              <wp:positionH relativeFrom="column">
                <wp:posOffset>-5715</wp:posOffset>
              </wp:positionH>
              <wp:positionV relativeFrom="page">
                <wp:posOffset>9219565</wp:posOffset>
              </wp:positionV>
              <wp:extent cx="6114960" cy="831240"/>
              <wp:effectExtent l="0" t="0" r="635" b="6985"/>
              <wp:wrapNone/>
              <wp:docPr id="1" name="Text Box 1"/>
              <wp:cNvGraphicFramePr/>
              <a:graphic xmlns:a="http://schemas.openxmlformats.org/drawingml/2006/main">
                <a:graphicData uri="http://schemas.microsoft.com/office/word/2010/wordprocessingShape">
                  <wps:wsp>
                    <wps:cNvSpPr txBox="1"/>
                    <wps:spPr>
                      <a:xfrm>
                        <a:off x="0" y="0"/>
                        <a:ext cx="6114960" cy="831240"/>
                      </a:xfrm>
                      <a:prstGeom prst="rect">
                        <a:avLst/>
                      </a:prstGeom>
                      <a:noFill/>
                      <a:ln w="6350">
                        <a:noFill/>
                      </a:ln>
                    </wps:spPr>
                    <wps:txbx>
                      <w:txbxContent>
                        <w:p w14:paraId="5BDA313D"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w:t>
                          </w:r>
                          <w:proofErr w:type="spellStart"/>
                          <w:r w:rsidRPr="009D752A">
                            <w:rPr>
                              <w:rFonts w:cs="Arial"/>
                              <w:sz w:val="15"/>
                              <w:szCs w:val="15"/>
                            </w:rPr>
                            <w:t>Jianwai</w:t>
                          </w:r>
                          <w:proofErr w:type="spellEnd"/>
                          <w:r w:rsidRPr="009D752A">
                            <w:rPr>
                              <w:rFonts w:cs="Arial"/>
                              <w:sz w:val="15"/>
                              <w:szCs w:val="15"/>
                            </w:rPr>
                            <w:t xml:space="preserve"> Avenue · Beijing · China 100004 · </w:t>
                          </w:r>
                          <w:r w:rsidRPr="009D752A">
                            <w:rPr>
                              <w:rFonts w:cs="Arial"/>
                              <w:b/>
                              <w:bCs/>
                              <w:sz w:val="15"/>
                              <w:szCs w:val="15"/>
                            </w:rPr>
                            <w:t>Tel</w:t>
                          </w:r>
                          <w:r w:rsidRPr="009D752A">
                            <w:rPr>
                              <w:rFonts w:cs="Arial"/>
                              <w:sz w:val="15"/>
                              <w:szCs w:val="15"/>
                            </w:rPr>
                            <w:t>: +86 (10) 6535 0248</w:t>
                          </w:r>
                        </w:p>
                        <w:p w14:paraId="5C9FDF3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7C43ADC0"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4B6D9E5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4760C96C"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671C0F32" w14:textId="77777777"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w:t>
                          </w:r>
                          <w:proofErr w:type="spellStart"/>
                          <w:r w:rsidRPr="009D752A">
                            <w:rPr>
                              <w:rFonts w:cs="Arial"/>
                              <w:sz w:val="15"/>
                              <w:szCs w:val="15"/>
                            </w:rPr>
                            <w:t>Tras</w:t>
                          </w:r>
                          <w:proofErr w:type="spellEnd"/>
                          <w:r w:rsidRPr="009D752A">
                            <w:rPr>
                              <w:rFonts w:cs="Arial"/>
                              <w:sz w:val="15"/>
                              <w:szCs w:val="15"/>
                            </w:rPr>
                            <w:t xml:space="preserve"> Street · #07-05 Lian </w:t>
                          </w:r>
                          <w:proofErr w:type="spellStart"/>
                          <w:r w:rsidRPr="009D752A">
                            <w:rPr>
                              <w:rFonts w:cs="Arial"/>
                              <w:sz w:val="15"/>
                              <w:szCs w:val="15"/>
                            </w:rPr>
                            <w:t>Huat</w:t>
                          </w:r>
                          <w:proofErr w:type="spellEnd"/>
                          <w:r w:rsidRPr="009D752A">
                            <w:rPr>
                              <w:rFonts w:cs="Arial"/>
                              <w:sz w:val="15"/>
                              <w:szCs w:val="15"/>
                            </w:rPr>
                            <w:t xml:space="preserve"> Building · Singapore 079024 · </w:t>
                          </w:r>
                          <w:r w:rsidRPr="009D752A">
                            <w:rPr>
                              <w:rFonts w:cs="Arial"/>
                              <w:b/>
                              <w:bCs/>
                              <w:sz w:val="15"/>
                              <w:szCs w:val="15"/>
                            </w:rPr>
                            <w:t>Tel</w:t>
                          </w:r>
                          <w:r w:rsidRPr="009D752A">
                            <w:rPr>
                              <w:rFonts w:cs="Arial"/>
                              <w:sz w:val="15"/>
                              <w:szCs w:val="15"/>
                            </w:rPr>
                            <w:t>: +65 6906 0889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D46F34" id="_x0000_t202" coordsize="21600,21600" o:spt="202" path="m,l,21600r21600,l21600,xe">
              <v:stroke joinstyle="miter"/>
              <v:path gradientshapeok="t" o:connecttype="rect"/>
            </v:shapetype>
            <v:shape id="Text Box 1" o:spid="_x0000_s1030" type="#_x0000_t202" style="position:absolute;margin-left:-.45pt;margin-top:725.95pt;width:481.5pt;height:6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NHKgIAAFAEAAAOAAAAZHJzL2Uyb0RvYy54bWysVF1r2zAUfR/sPwi9L47TNOtMnJK1ZAxK&#10;W0hGnxVZjg3WxyQldvbrdyTbaen2NPYiX93ve86Vl7edbMhJWFdrldN0MqVEKK6LWh1y+mO3+XRD&#10;ifNMFazRSuT0LBy9XX38sGxNJma60k0hLEES5bLW5LTy3mRJ4nglJHMTbYSCsdRWMo+rPSSFZS2y&#10;yyaZTaeLpNW2MFZz4Ry0972RrmL+shTcP5WlE540OUVvPp42nvtwJqslyw6WmarmQxvsH7qQrFYo&#10;ekl1zzwjR1v/kUrW3GqnSz/hWia6LGsu4gyYJp2+m2ZbMSPiLADHmQtM7v+l5Y+nZ0vqAtxRopgE&#10;RTvRefJVdyQN6LTGZXDaGrj5DurgOegdlGHorrQyfDEOgR04ny/YhmQcykWazr8sYOKw3Vyls3kE&#10;P3mNNtb5b0JLEoScWnAXIWWnB+dREa6jSyim9KZumshfo0iLClfX0xhwsSCiUQgMM/S9Bsl3+y5O&#10;PB/n2OvijPGs7tfDGb6p0cMDc/6ZWewD2saO+yccZaNRSw8SJZW2v/6mD/6gCVZKWuxXTt3PI7OC&#10;kua7AoFhGaMwv/48w8WO2v1brTrKO43VBTnoKorB1zejWFotX/AE1qEaTExx1MypH8U73287nhAX&#10;63V0wuoZ5h/U1vCQOqAZkN11L8yaAX4P4h71uIEse8dC7xsinVkfPbiIFAV8ezQH2LG2kbnhiYV3&#10;8fYevV5/BKvfAAAA//8DAFBLAwQUAAYACAAAACEAPgt1kt4AAAALAQAADwAAAGRycy9kb3ducmV2&#10;LnhtbEyPzU7DMBCE70i8g7VI3FonEa3SEKdC/FwrKDyAGy9JILaDfxLTp2c5wW13ZjT7bb1PemQz&#10;Oj9YIyBfZ8DQtFYNphPw9vq0KoH5II2SozUo4Bs97JvLi1pWyi7mBedj6BiVGF9JAX0IU8W5b3vU&#10;0q/thIa8d+u0DLS6jisnFyrXIy+ybMu1HAxd6OWE9z22n8eoBTzPqg2xWB7Oh+wrxfPj4cOlKMT1&#10;Vbq7BRYwhb8w/OITOjTEdLLRKM9GAasdBUm+2eQ0UWC3LXJgJ5I2ZVECb2r+/4fmBwAA//8DAFBL&#10;AQItABQABgAIAAAAIQC2gziS/gAAAOEBAAATAAAAAAAAAAAAAAAAAAAAAABbQ29udGVudF9UeXBl&#10;c10ueG1sUEsBAi0AFAAGAAgAAAAhADj9If/WAAAAlAEAAAsAAAAAAAAAAAAAAAAALwEAAF9yZWxz&#10;Ly5yZWxzUEsBAi0AFAAGAAgAAAAhAGKNE0cqAgAAUAQAAA4AAAAAAAAAAAAAAAAALgIAAGRycy9l&#10;Mm9Eb2MueG1sUEsBAi0AFAAGAAgAAAAhAD4LdZLeAAAACwEAAA8AAAAAAAAAAAAAAAAAhAQAAGRy&#10;cy9kb3ducmV2LnhtbFBLBQYAAAAABAAEAPMAAACPBQAAAAA=&#10;" filled="f" stroked="f" strokeweight=".5pt">
              <v:textbox style="mso-fit-shape-to-text:t" inset="0,,0">
                <w:txbxContent>
                  <w:p w14:paraId="5BDA313D"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w:t>
                    </w:r>
                    <w:proofErr w:type="spellStart"/>
                    <w:r w:rsidRPr="009D752A">
                      <w:rPr>
                        <w:rFonts w:cs="Arial"/>
                        <w:sz w:val="15"/>
                        <w:szCs w:val="15"/>
                      </w:rPr>
                      <w:t>Jianwai</w:t>
                    </w:r>
                    <w:proofErr w:type="spellEnd"/>
                    <w:r w:rsidRPr="009D752A">
                      <w:rPr>
                        <w:rFonts w:cs="Arial"/>
                        <w:sz w:val="15"/>
                        <w:szCs w:val="15"/>
                      </w:rPr>
                      <w:t xml:space="preserve"> Avenue · Beijing · China 100004 · </w:t>
                    </w:r>
                    <w:r w:rsidRPr="009D752A">
                      <w:rPr>
                        <w:rFonts w:cs="Arial"/>
                        <w:b/>
                        <w:bCs/>
                        <w:sz w:val="15"/>
                        <w:szCs w:val="15"/>
                      </w:rPr>
                      <w:t>Tel</w:t>
                    </w:r>
                    <w:r w:rsidRPr="009D752A">
                      <w:rPr>
                        <w:rFonts w:cs="Arial"/>
                        <w:sz w:val="15"/>
                        <w:szCs w:val="15"/>
                      </w:rPr>
                      <w:t>: +86 (10) 6535 0248</w:t>
                    </w:r>
                  </w:p>
                  <w:p w14:paraId="5C9FDF3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7C43ADC0"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4B6D9E5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4760C96C"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671C0F32" w14:textId="77777777"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w:t>
                    </w:r>
                    <w:proofErr w:type="spellStart"/>
                    <w:r w:rsidRPr="009D752A">
                      <w:rPr>
                        <w:rFonts w:cs="Arial"/>
                        <w:sz w:val="15"/>
                        <w:szCs w:val="15"/>
                      </w:rPr>
                      <w:t>Tras</w:t>
                    </w:r>
                    <w:proofErr w:type="spellEnd"/>
                    <w:r w:rsidRPr="009D752A">
                      <w:rPr>
                        <w:rFonts w:cs="Arial"/>
                        <w:sz w:val="15"/>
                        <w:szCs w:val="15"/>
                      </w:rPr>
                      <w:t xml:space="preserve"> Street · #07-05 Lian </w:t>
                    </w:r>
                    <w:proofErr w:type="spellStart"/>
                    <w:r w:rsidRPr="009D752A">
                      <w:rPr>
                        <w:rFonts w:cs="Arial"/>
                        <w:sz w:val="15"/>
                        <w:szCs w:val="15"/>
                      </w:rPr>
                      <w:t>Huat</w:t>
                    </w:r>
                    <w:proofErr w:type="spellEnd"/>
                    <w:r w:rsidRPr="009D752A">
                      <w:rPr>
                        <w:rFonts w:cs="Arial"/>
                        <w:sz w:val="15"/>
                        <w:szCs w:val="15"/>
                      </w:rPr>
                      <w:t xml:space="preserve"> Building · Singapore 079024 · </w:t>
                    </w:r>
                    <w:r w:rsidRPr="009D752A">
                      <w:rPr>
                        <w:rFonts w:cs="Arial"/>
                        <w:b/>
                        <w:bCs/>
                        <w:sz w:val="15"/>
                        <w:szCs w:val="15"/>
                      </w:rPr>
                      <w:t>Tel</w:t>
                    </w:r>
                    <w:r w:rsidRPr="009D752A">
                      <w:rPr>
                        <w:rFonts w:cs="Arial"/>
                        <w:sz w:val="15"/>
                        <w:szCs w:val="15"/>
                      </w:rPr>
                      <w:t>: +65 6906 0889</w:t>
                    </w:r>
                  </w:p>
                </w:txbxContent>
              </v:textbox>
              <w10:wrap anchory="page"/>
              <w10:anchorlock/>
            </v:shape>
          </w:pict>
        </mc:Fallback>
      </mc:AlternateContent>
    </w:r>
  </w:p>
  <w:p w14:paraId="435819C4" w14:textId="77777777" w:rsidR="00990DEA" w:rsidRDefault="00990DEA">
    <w:pPr>
      <w:pStyle w:val="Footer"/>
    </w:pPr>
  </w:p>
  <w:p w14:paraId="25E15CCE" w14:textId="77777777" w:rsidR="00990DEA" w:rsidRDefault="00990DEA">
    <w:pPr>
      <w:pStyle w:val="Footer"/>
    </w:pPr>
  </w:p>
  <w:p w14:paraId="51B21431" w14:textId="77777777" w:rsidR="00990DEA" w:rsidRDefault="00990DEA">
    <w:pPr>
      <w:pStyle w:val="Footer"/>
    </w:pPr>
  </w:p>
  <w:p w14:paraId="37BD6EF9" w14:textId="77777777" w:rsidR="00990DEA" w:rsidRDefault="00990DEA">
    <w:pPr>
      <w:pStyle w:val="Footer"/>
    </w:pPr>
  </w:p>
  <w:p w14:paraId="795711C2" w14:textId="77777777" w:rsidR="009B6834" w:rsidRDefault="009B6834">
    <w:pPr>
      <w:pStyle w:val="Footer"/>
    </w:pPr>
  </w:p>
  <w:p w14:paraId="1C512E5F" w14:textId="77777777" w:rsidR="002F15BC" w:rsidRDefault="00990DEA" w:rsidP="002F15BC">
    <w:pPr>
      <w:pStyle w:val="Footer"/>
      <w:tabs>
        <w:tab w:val="left" w:pos="1985"/>
        <w:tab w:val="left" w:pos="4513"/>
      </w:tabs>
      <w:spacing w:after="20"/>
      <w:rPr>
        <w:rFonts w:cs="Arial"/>
        <w:color w:val="002060" w:themeColor="text2"/>
        <w:sz w:val="15"/>
        <w:szCs w:val="15"/>
      </w:rPr>
    </w:pPr>
    <w:r>
      <w:rPr>
        <w:noProof/>
        <w:lang w:eastAsia="en-GB"/>
      </w:rPr>
      <mc:AlternateContent>
        <mc:Choice Requires="wps">
          <w:drawing>
            <wp:anchor distT="0" distB="0" distL="114300" distR="114300" simplePos="0" relativeHeight="251695104" behindDoc="0" locked="0" layoutInCell="1" allowOverlap="1" wp14:anchorId="7A4323AC" wp14:editId="7CBC8421">
              <wp:simplePos x="0" y="0"/>
              <wp:positionH relativeFrom="column">
                <wp:posOffset>-15240</wp:posOffset>
              </wp:positionH>
              <wp:positionV relativeFrom="paragraph">
                <wp:posOffset>25400</wp:posOffset>
              </wp:positionV>
              <wp:extent cx="61245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389E3F" id="Straight Connector 1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pt" to="4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4XwgEAANYDAAAOAAAAZHJzL2Uyb0RvYy54bWysU02P0zAQvSPxHyzfqZOK3UVR0z10BRcE&#10;FQs/wOuMG0v+0tg06b9n7LbZFSAhEBfH9sx78954srmfnWVHwGSC73m7ajgDr8Jg/KHn376+f/OO&#10;s5SlH6QNHnp+gsTvt69fbabYwTqMwQ6AjEh86qbY8zHn2AmR1AhOplWI4CmoAzqZ6YgHMaCciN1Z&#10;sW6aWzEFHCIGBSnR7cM5yLeVX2tQ+bPWCTKzPSdtua5Y16eyiu1GdgeUcTTqIkP+gwonjaeiC9WD&#10;zJJ9R/MLlTMKQwo6r1RwImhtFFQP5KZtfnLzOMoI1Qs1J8WlTen/0apPxz0yM9DbUXu8dPRGjxml&#10;OYyZ7YL31MGAjILUqSmmjgA7v8fLKcU9FtuzRle+ZIjNtbunpbswZ6bo8rZdv725u+FMXWPiGRgx&#10;5Q8QHCubnlvji3HZyePHlKkYpV5TyrX1bCLJ67umChNF2VlL3eWThXPaF9Dkjqq3la7OFewssqOk&#10;iZBKgc9t8UYFrKfsAtPG2gXY/Bl4yS9QqDP3N+AFUSsHnxewMz7g76rn+SpZn/NJ/gvfZfsUhlN9&#10;pRqg4akOL4NepvPlucKff8ftDwAAAP//AwBQSwMEFAAGAAgAAAAhACdSW2fbAAAABgEAAA8AAABk&#10;cnMvZG93bnJldi54bWxMj0FLw0AUhO+C/2F5grd201CqjdkUEVQ8qbFQvL1mn0lo9m3Mbtv47/vs&#10;RY/DDDPf5KvRdepAQ2g9G5hNE1DElbct1wbWH4+TW1AhIlvsPJOBHwqwKi4vcsysP/I7HcpYKynh&#10;kKGBJsY+0zpUDTkMU98Ti/flB4dR5FBrO+BRyl2n0yRZaIcty0KDPT00VO3KvZOR55sXXr/Rsk2+&#10;u9fwiZvdU7kx5vpqvL8DFWmMf2H4xRd0KIRp6/dsg+oMTNK5JA3M5ZHYy0U6A7U9a13k+j9+cQIA&#10;AP//AwBQSwECLQAUAAYACAAAACEAtoM4kv4AAADhAQAAEwAAAAAAAAAAAAAAAAAAAAAAW0NvbnRl&#10;bnRfVHlwZXNdLnhtbFBLAQItABQABgAIAAAAIQA4/SH/1gAAAJQBAAALAAAAAAAAAAAAAAAAAC8B&#10;AABfcmVscy8ucmVsc1BLAQItABQABgAIAAAAIQClL04XwgEAANYDAAAOAAAAAAAAAAAAAAAAAC4C&#10;AABkcnMvZTJvRG9jLnhtbFBLAQItABQABgAIAAAAIQAnUltn2wAAAAYBAAAPAAAAAAAAAAAAAAAA&#10;ABwEAABkcnMvZG93bnJldi54bWxQSwUGAAAAAAQABADzAAAAJAUAAAAA&#10;" strokecolor="#cda115 [3044]" strokeweight="1pt"/>
          </w:pict>
        </mc:Fallback>
      </mc:AlternateContent>
    </w:r>
  </w:p>
  <w:p w14:paraId="716CC5C1" w14:textId="77777777" w:rsidR="002F15BC" w:rsidRPr="002F15BC" w:rsidRDefault="002F15BC" w:rsidP="002F15BC">
    <w:pPr>
      <w:pStyle w:val="Footer"/>
      <w:tabs>
        <w:tab w:val="left" w:pos="1985"/>
        <w:tab w:val="left" w:pos="4513"/>
      </w:tabs>
      <w:spacing w:after="20"/>
      <w:jc w:val="right"/>
      <w:rPr>
        <w:rFonts w:cs="Arial"/>
        <w:b/>
        <w:bCs/>
        <w:color w:val="D9AB16" w:themeColor="accent1"/>
        <w:sz w:val="16"/>
        <w:szCs w:val="16"/>
      </w:rPr>
    </w:pPr>
    <w:r w:rsidRPr="002F15BC">
      <w:rPr>
        <w:rFonts w:cs="Arial"/>
        <w:b/>
        <w:bCs/>
        <w:color w:val="D9AB16" w:themeColor="accent1"/>
        <w:sz w:val="16"/>
        <w:szCs w:val="16"/>
      </w:rPr>
      <w:t>www.actuaries.org.uk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C513" w14:textId="77777777" w:rsidR="00831A06" w:rsidRDefault="00831A06" w:rsidP="00B652E6">
      <w:pPr>
        <w:spacing w:after="0" w:line="240" w:lineRule="auto"/>
      </w:pPr>
      <w:r>
        <w:separator/>
      </w:r>
    </w:p>
  </w:footnote>
  <w:footnote w:type="continuationSeparator" w:id="0">
    <w:p w14:paraId="77A8422C" w14:textId="77777777" w:rsidR="00831A06" w:rsidRDefault="00831A06" w:rsidP="00B652E6">
      <w:pPr>
        <w:spacing w:after="0" w:line="240" w:lineRule="auto"/>
      </w:pPr>
      <w:r>
        <w:continuationSeparator/>
      </w:r>
    </w:p>
  </w:footnote>
  <w:footnote w:type="continuationNotice" w:id="1">
    <w:p w14:paraId="4202BF7F" w14:textId="77777777" w:rsidR="00831A06" w:rsidRDefault="00831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2550" w14:textId="77777777" w:rsidR="00421032" w:rsidRDefault="00421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BF30" w14:textId="77777777" w:rsidR="0052522D" w:rsidRPr="0052522D" w:rsidRDefault="0052522D" w:rsidP="0052522D">
    <w:pPr>
      <w:pStyle w:val="Header"/>
    </w:pPr>
    <w: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ED6C" w14:textId="3D041B33" w:rsidR="00CA62E3" w:rsidRDefault="00990DEA" w:rsidP="0006274D">
    <w:pPr>
      <w:pStyle w:val="Header"/>
      <w:jc w:val="right"/>
    </w:pPr>
    <w:r>
      <w:rPr>
        <w:rFonts w:cs="Arial"/>
        <w:noProof/>
        <w:szCs w:val="20"/>
        <w:lang w:eastAsia="en-GB"/>
      </w:rPr>
      <mc:AlternateContent>
        <mc:Choice Requires="wps">
          <w:drawing>
            <wp:anchor distT="0" distB="0" distL="114300" distR="114300" simplePos="0" relativeHeight="251628544" behindDoc="0" locked="0" layoutInCell="1" allowOverlap="1" wp14:anchorId="1BF6A2BD" wp14:editId="5FCDFE08">
              <wp:simplePos x="0" y="0"/>
              <wp:positionH relativeFrom="page">
                <wp:posOffset>9525</wp:posOffset>
              </wp:positionH>
              <wp:positionV relativeFrom="paragraph">
                <wp:posOffset>-539750</wp:posOffset>
              </wp:positionV>
              <wp:extent cx="7534275" cy="3133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133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9A1D7" id="Rectangle 2" o:spid="_x0000_s1026" style="position:absolute;margin-left:.75pt;margin-top:-42.5pt;width:593.25pt;height:246.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P2kgIAAIUFAAAOAAAAZHJzL2Uyb0RvYy54bWysVMFu2zAMvQ/YPwi6r06cZNmCOkXQosOA&#10;og3aDj2rshQLkEVNUuJkXz9Kcpy2K3YYloMiiuQj+Uzy/GLfarITziswFR2fjSgRhkOtzKaiPx6v&#10;P32hxAdmaqbBiIoehKcXy48fzju7ECU0oGvhCIIYv+hsRZsQ7KIoPG9Ey/wZWGFQKcG1LKDoNkXt&#10;WIforS7K0ehz0YGrrQMuvMfXq6yky4QvpeDhTkovAtEVxdxCOl06n+NZLM/ZYuOYbRTv02D/kEXL&#10;lMGgA9QVC4xsnfoDqlXcgQcZzji0BUipuEg1YDXj0ZtqHhpmRaoFyfF2oMn/P1h+u1s7ouqKlpQY&#10;1uInukfSmNloQcpIT2f9Aq0e7Nr1ksdrrHUvXRv/sQqyT5QeBkrFPhCOj/PZZFrOZ5Rw1E3Gk8m8&#10;nEXU4uRunQ/fBLQkXirqMHyiku1ufMimR5MYzYNW9bXSOgmxT8SldmTH8AuHfUoZwV9ZaRNtDUSv&#10;DBhfilhZriXdwkGLaKfNvZBICWZfpkRSM56CMM6FCeOsalgtcuzZCH99aYNHKjQBRmSJ8QfsHuB1&#10;AUfsnGVvH11F6uXBefS3xLLz4JEigwmDc6sMuPcANFbVR872R5IyNZGlZ6gP2DAO8iR5y68VfrYb&#10;5sOaORwdHDJcB+EOD6mhqyj0N0oacL/ee4/22NGopaTDUayo/7llTlCivxvs9a/j6TTObhKms3mJ&#10;gnupeX6pMdv2ErAXxrh4LE/XaB/08SodtE+4NVYxKqqY4Ri7ojy4o3AZ8orAvcPFapXMcF4tCzfm&#10;wfIIHlmNbfm4f2LO9r0bsO1v4Ti2bPGmhbNt9DSw2gaQKvX3ideeb5z11Dj9XorL5KWcrE7bc/kb&#10;AAD//wMAUEsDBBQABgAIAAAAIQCbZzvv3gAAAAoBAAAPAAAAZHJzL2Rvd25yZXYueG1sTI/BTsMw&#10;EETvSPyDtUjcWqeIIBPiVFElDlVPLQiJmxubJMJeB9tt3L9ne4LbjmY0+6ZeZ2fZ2YQ4epSwWhbA&#10;DHZej9hLeH97XQhgMSnUyno0Ei4mwrq5valVpf2Me3M+pJ5RCcZKSRhSmirOYzcYp+LSTwbJ+/LB&#10;qUQy9FwHNVO5s/yhKJ64UyPSh0FNZjOY7vtwchI22/mjtWL72Qv33O4y34f2J0t5f5fbF2DJ5PQX&#10;his+oUNDTEd/Qh2ZJV1SUMJClDTp6q+EoOso4bEQJfCm5v8nNL8AAAD//wMAUEsBAi0AFAAGAAgA&#10;AAAhALaDOJL+AAAA4QEAABMAAAAAAAAAAAAAAAAAAAAAAFtDb250ZW50X1R5cGVzXS54bWxQSwEC&#10;LQAUAAYACAAAACEAOP0h/9YAAACUAQAACwAAAAAAAAAAAAAAAAAvAQAAX3JlbHMvLnJlbHNQSwEC&#10;LQAUAAYACAAAACEA07uT9pICAACFBQAADgAAAAAAAAAAAAAAAAAuAgAAZHJzL2Uyb0RvYy54bWxQ&#10;SwECLQAUAAYACAAAACEAm2c7794AAAAKAQAADwAAAAAAAAAAAAAAAADsBAAAZHJzL2Rvd25yZXYu&#10;eG1sUEsFBgAAAAAEAAQA8wAAAPcFAAAAAA==&#10;" fillcolor="#002060 [3215]" stroked="f" strokeweight="2pt">
              <w10:wrap anchorx="page"/>
            </v:rect>
          </w:pict>
        </mc:Fallback>
      </mc:AlternateContent>
    </w:r>
    <w:r>
      <w:rPr>
        <w:rFonts w:cs="Arial"/>
        <w:noProof/>
        <w:lang w:eastAsia="en-GB"/>
      </w:rPr>
      <w:drawing>
        <wp:anchor distT="0" distB="0" distL="114300" distR="114300" simplePos="0" relativeHeight="251701248" behindDoc="0" locked="1" layoutInCell="1" allowOverlap="1" wp14:anchorId="7C975CC8" wp14:editId="55CF69BA">
          <wp:simplePos x="0" y="0"/>
          <wp:positionH relativeFrom="column">
            <wp:posOffset>-139065</wp:posOffset>
          </wp:positionH>
          <wp:positionV relativeFrom="page">
            <wp:posOffset>356235</wp:posOffset>
          </wp:positionV>
          <wp:extent cx="2337480" cy="960840"/>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80" cy="96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74D">
      <w:rPr>
        <w:rFonts w:cs="Arial"/>
        <w:b/>
        <w:szCs w:val="20"/>
      </w:rPr>
      <w:tab/>
    </w:r>
    <w:r w:rsidR="0006274D">
      <w:rPr>
        <w:rFonts w:cs="Arial"/>
        <w:b/>
        <w:szCs w:val="20"/>
      </w:rPr>
      <w:tab/>
    </w:r>
    <w:r w:rsidR="0006274D" w:rsidRPr="00153DBD">
      <w:rPr>
        <w:rFonts w:cs="Arial"/>
        <w:b/>
        <w:szCs w:val="20"/>
      </w:rPr>
      <w:tab/>
      <w:t xml:space="preserve"> </w:t>
    </w:r>
  </w:p>
  <w:p w14:paraId="03A81258" w14:textId="77777777" w:rsidR="009B6834" w:rsidRDefault="009B6834">
    <w:pPr>
      <w:pStyle w:val="Header"/>
    </w:pPr>
  </w:p>
  <w:p w14:paraId="61D45FBB" w14:textId="77777777" w:rsidR="009B6834" w:rsidRDefault="009B6834">
    <w:pPr>
      <w:pStyle w:val="Header"/>
    </w:pPr>
  </w:p>
  <w:p w14:paraId="2B6977C1" w14:textId="61943D7B" w:rsidR="009B6834" w:rsidRDefault="00A3328D">
    <w:pPr>
      <w:pStyle w:val="Header"/>
    </w:pPr>
    <w:r>
      <w:rPr>
        <w:noProof/>
        <w:lang w:eastAsia="en-GB"/>
      </w:rPr>
      <mc:AlternateContent>
        <mc:Choice Requires="wps">
          <w:drawing>
            <wp:anchor distT="0" distB="0" distL="114300" distR="114300" simplePos="0" relativeHeight="251689984" behindDoc="0" locked="0" layoutInCell="1" allowOverlap="1" wp14:anchorId="1117F531" wp14:editId="676E3DDF">
              <wp:simplePos x="0" y="0"/>
              <wp:positionH relativeFrom="column">
                <wp:posOffset>4556760</wp:posOffset>
              </wp:positionH>
              <wp:positionV relativeFrom="page">
                <wp:posOffset>1028700</wp:posOffset>
              </wp:positionV>
              <wp:extent cx="1590675" cy="29527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5906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E4634" w14:textId="26FF2957" w:rsidR="00EE3178" w:rsidRDefault="00A3328D" w:rsidP="008634D2">
                          <w:pPr>
                            <w:rPr>
                              <w:rFonts w:cs="Arial"/>
                              <w:b/>
                              <w:color w:val="FFFFFF" w:themeColor="background2"/>
                            </w:rPr>
                          </w:pPr>
                          <w:r w:rsidRPr="004346BB">
                            <w:rPr>
                              <w:rFonts w:cs="Arial"/>
                              <w:b/>
                              <w:color w:val="auto"/>
                            </w:rPr>
                            <w:t xml:space="preserve"> </w:t>
                          </w:r>
                          <w:r w:rsidR="00203E0A">
                            <w:rPr>
                              <w:rFonts w:cs="Arial"/>
                              <w:b/>
                              <w:color w:val="FFFFFF" w:themeColor="background2"/>
                            </w:rPr>
                            <w:t>24</w:t>
                          </w:r>
                          <w:r>
                            <w:rPr>
                              <w:rFonts w:cs="Arial"/>
                              <w:b/>
                              <w:color w:val="FFFFFF" w:themeColor="background2"/>
                            </w:rPr>
                            <w:t xml:space="preserve"> March </w:t>
                          </w:r>
                          <w:r w:rsidR="008634D2">
                            <w:rPr>
                              <w:rFonts w:cs="Arial"/>
                              <w:b/>
                              <w:color w:val="FFFFFF" w:themeColor="background2"/>
                            </w:rPr>
                            <w:t>2022</w:t>
                          </w:r>
                        </w:p>
                        <w:p w14:paraId="5177F6B5" w14:textId="77777777" w:rsidR="00EE3178" w:rsidRPr="00EE3178" w:rsidRDefault="00EE3178" w:rsidP="00686676">
                          <w:pPr>
                            <w:rPr>
                              <w:rFonts w:cs="Arial"/>
                              <w:b/>
                              <w:color w:val="FFFFFF" w:themeColor="background2"/>
                            </w:rPr>
                          </w:pPr>
                        </w:p>
                        <w:p w14:paraId="024051FA" w14:textId="77777777"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7F531" id="_x0000_t202" coordsize="21600,21600" o:spt="202" path="m,l,21600r21600,l21600,xe">
              <v:stroke joinstyle="miter"/>
              <v:path gradientshapeok="t" o:connecttype="rect"/>
            </v:shapetype>
            <v:shape id="Text Box 7" o:spid="_x0000_s1027" type="#_x0000_t202" style="position:absolute;margin-left:358.8pt;margin-top:81pt;width:125.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gKewIAAGEFAAAOAAAAZHJzL2Uyb0RvYy54bWysVE1v2zAMvQ/YfxB0X51mS7MGdYqsRYcB&#10;RVusHXpWZKkxJomaxMTOfn0p2U6CbJcOu8g0+Ujx41EXl601bKNCrMGV/PRkxJlyEqravZT8x9PN&#10;h8+cRRSuEgacKvlWRX45f//uovEzNYYVmEoFRkFcnDW+5CtEPyuKKFfKingCXjkyaghWIP2Gl6IK&#10;oqHo1hTj0eisaCBUPoBUMZL2ujPyeY6vtZJ4r3VUyEzJKTfMZ8jnMp3F/ELMXoLwq1r2aYh/yMKK&#10;2tGlu1DXAgVbh/qPULaWASJoPJFgC9C6lirXQNWcjo6qeVwJr3It1Jzod22K/y+svNs8BFZXJZ9y&#10;5oSlET2pFtkXaNk0dafxcUagR08wbElNUx70kZSp6FYHm75UDiM79Xm7620KJpPT5Hx0Np1wJsk2&#10;Pp+MSabwxd7bh4hfFViWhJIHml1uqdjcRuygAyRd5uCmNibPzzjWlPzs42SUHXYWCm5cwqrMhD5M&#10;qqjLPEu4NSphjPuuNHUiF5AUmYPqygS2EcQeIaVymGvPcQmdUJqSeItjj99n9Rbnro7hZnC4c7a1&#10;g5CrP0q7+jmkrDs89fyg7iRiu2wzBXaDXUK1pXkH6PYlenlT01BuRcQHEWhBaMS09HhPhzZAzYde&#10;4mwF4fff9AlPvCUrZw0tXMnjr7UIijPzzRGj03Zm4dNkOqafMGiXh1q3tldA0zilZ8XLLCYsmkHU&#10;AewzvQmLdBuZhJN0Z8lxEK+wW396U6RaLDKIdtELvHWPXqbQaTiJak/tswi+5yMSk+9gWEkxO6Jl&#10;h02eDhZrBF1nzqb+dt3s+057nFnfvznpoTj8z6j9yzh/BQAA//8DAFBLAwQUAAYACAAAACEACNIX&#10;fd8AAAALAQAADwAAAGRycy9kb3ducmV2LnhtbEyPy07DMBBF90j8gzVI7KiTSKRpiFNVSC0bNrQg&#10;sXTjyUPY4yh20/D3DCtYju7RnXOr7eKsmHEKgycF6SoBgdR4M1Cn4P20fyhAhKjJaOsJFXxjgG19&#10;e1Pp0vgrveF8jJ3gEgqlVtDHOJZShqZHp8PKj0ictX5yOvI5ddJM+srlzsosSXLp9ED8odcjPvfY&#10;fB0vTkEMrd0X5sW8jruPw2Hq5g1+tkrd3y27JxARl/gHw68+q0PNTmd/IROEVbBO1zmjHOQZj2Ji&#10;kxcpiLOCLCkeQdaV/L+h/gEAAP//AwBQSwECLQAUAAYACAAAACEAtoM4kv4AAADhAQAAEwAAAAAA&#10;AAAAAAAAAAAAAAAAW0NvbnRlbnRfVHlwZXNdLnhtbFBLAQItABQABgAIAAAAIQA4/SH/1gAAAJQB&#10;AAALAAAAAAAAAAAAAAAAAC8BAABfcmVscy8ucmVsc1BLAQItABQABgAIAAAAIQAxzogKewIAAGEF&#10;AAAOAAAAAAAAAAAAAAAAAC4CAABkcnMvZTJvRG9jLnhtbFBLAQItABQABgAIAAAAIQAI0hd93wAA&#10;AAsBAAAPAAAAAAAAAAAAAAAAANUEAABkcnMvZG93bnJldi54bWxQSwUGAAAAAAQABADzAAAA4QUA&#10;AAAA&#10;" filled="f" stroked="f" strokeweight=".5pt">
              <v:textbox inset="0,,0">
                <w:txbxContent>
                  <w:p w14:paraId="111E4634" w14:textId="26FF2957" w:rsidR="00EE3178" w:rsidRDefault="00A3328D" w:rsidP="008634D2">
                    <w:pPr>
                      <w:rPr>
                        <w:rFonts w:cs="Arial"/>
                        <w:b/>
                        <w:color w:val="FFFFFF" w:themeColor="background2"/>
                      </w:rPr>
                    </w:pPr>
                    <w:r w:rsidRPr="004346BB">
                      <w:rPr>
                        <w:rFonts w:cs="Arial"/>
                        <w:b/>
                        <w:color w:val="auto"/>
                      </w:rPr>
                      <w:t xml:space="preserve"> </w:t>
                    </w:r>
                    <w:r w:rsidR="00203E0A">
                      <w:rPr>
                        <w:rFonts w:cs="Arial"/>
                        <w:b/>
                        <w:color w:val="FFFFFF" w:themeColor="background2"/>
                      </w:rPr>
                      <w:t>24</w:t>
                    </w:r>
                    <w:r>
                      <w:rPr>
                        <w:rFonts w:cs="Arial"/>
                        <w:b/>
                        <w:color w:val="FFFFFF" w:themeColor="background2"/>
                      </w:rPr>
                      <w:t xml:space="preserve"> March </w:t>
                    </w:r>
                    <w:r w:rsidR="008634D2">
                      <w:rPr>
                        <w:rFonts w:cs="Arial"/>
                        <w:b/>
                        <w:color w:val="FFFFFF" w:themeColor="background2"/>
                      </w:rPr>
                      <w:t>2022</w:t>
                    </w:r>
                  </w:p>
                  <w:p w14:paraId="5177F6B5" w14:textId="77777777" w:rsidR="00EE3178" w:rsidRPr="00EE3178" w:rsidRDefault="00EE3178" w:rsidP="00686676">
                    <w:pPr>
                      <w:rPr>
                        <w:rFonts w:cs="Arial"/>
                        <w:b/>
                        <w:color w:val="FFFFFF" w:themeColor="background2"/>
                      </w:rPr>
                    </w:pPr>
                  </w:p>
                  <w:p w14:paraId="024051FA" w14:textId="77777777" w:rsidR="00EE3178" w:rsidRPr="00686676" w:rsidRDefault="00EE3178">
                    <w:pPr>
                      <w:rPr>
                        <w:color w:val="FFFFFF" w:themeColor="background2"/>
                      </w:rPr>
                    </w:pPr>
                  </w:p>
                </w:txbxContent>
              </v:textbox>
              <w10:wrap anchory="page"/>
            </v:shape>
          </w:pict>
        </mc:Fallback>
      </mc:AlternateContent>
    </w:r>
  </w:p>
  <w:p w14:paraId="0823F365" w14:textId="77777777" w:rsidR="009B6834" w:rsidRDefault="009B6834">
    <w:pPr>
      <w:pStyle w:val="Header"/>
    </w:pPr>
  </w:p>
  <w:p w14:paraId="663D19B8" w14:textId="77777777" w:rsidR="009B6834" w:rsidRDefault="009B6834">
    <w:pPr>
      <w:pStyle w:val="Header"/>
    </w:pPr>
  </w:p>
  <w:p w14:paraId="5110923E" w14:textId="77777777" w:rsidR="009B6834" w:rsidRDefault="00584097">
    <w:pPr>
      <w:pStyle w:val="Header"/>
    </w:pPr>
    <w:r>
      <w:rPr>
        <w:noProof/>
        <w:lang w:eastAsia="en-GB"/>
      </w:rPr>
      <mc:AlternateContent>
        <mc:Choice Requires="wps">
          <w:drawing>
            <wp:anchor distT="0" distB="0" distL="114300" distR="114300" simplePos="0" relativeHeight="251676672" behindDoc="0" locked="0" layoutInCell="1" allowOverlap="1" wp14:anchorId="51BA7113" wp14:editId="7890D94A">
              <wp:simplePos x="0" y="0"/>
              <wp:positionH relativeFrom="margin">
                <wp:posOffset>-15240</wp:posOffset>
              </wp:positionH>
              <wp:positionV relativeFrom="paragraph">
                <wp:posOffset>107950</wp:posOffset>
              </wp:positionV>
              <wp:extent cx="6017260" cy="75247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601726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A4972" w14:textId="440663DD" w:rsidR="008634D2" w:rsidRPr="008634D2" w:rsidRDefault="00957696" w:rsidP="008634D2">
                          <w:pPr>
                            <w:rPr>
                              <w:rFonts w:cs="Arial"/>
                              <w:b/>
                              <w:bCs/>
                              <w:color w:val="FFFFFF" w:themeColor="background2"/>
                              <w:sz w:val="32"/>
                              <w:szCs w:val="32"/>
                            </w:rPr>
                          </w:pPr>
                          <w:r>
                            <w:rPr>
                              <w:rFonts w:cs="Arial"/>
                              <w:b/>
                              <w:bCs/>
                              <w:color w:val="FFFFFF" w:themeColor="background2"/>
                              <w:sz w:val="32"/>
                              <w:szCs w:val="32"/>
                            </w:rPr>
                            <w:t xml:space="preserve">Response to the Pensions Regulator’s </w:t>
                          </w:r>
                          <w:r w:rsidRPr="00957696">
                            <w:rPr>
                              <w:rFonts w:cs="Arial"/>
                              <w:b/>
                              <w:bCs/>
                              <w:color w:val="FFFFFF" w:themeColor="background2"/>
                              <w:sz w:val="32"/>
                              <w:szCs w:val="32"/>
                            </w:rPr>
                            <w:t xml:space="preserve">Collective </w:t>
                          </w:r>
                          <w:r w:rsidR="00B0587C">
                            <w:rPr>
                              <w:rFonts w:cs="Arial"/>
                              <w:b/>
                              <w:bCs/>
                              <w:color w:val="FFFFFF" w:themeColor="background2"/>
                              <w:sz w:val="32"/>
                              <w:szCs w:val="32"/>
                            </w:rPr>
                            <w:t>D</w:t>
                          </w:r>
                          <w:r w:rsidRPr="00957696">
                            <w:rPr>
                              <w:rFonts w:cs="Arial"/>
                              <w:b/>
                              <w:bCs/>
                              <w:color w:val="FFFFFF" w:themeColor="background2"/>
                              <w:sz w:val="32"/>
                              <w:szCs w:val="32"/>
                            </w:rPr>
                            <w:t xml:space="preserve">efined </w:t>
                          </w:r>
                          <w:r w:rsidR="00B0587C">
                            <w:rPr>
                              <w:rFonts w:cs="Arial"/>
                              <w:b/>
                              <w:bCs/>
                              <w:color w:val="FFFFFF" w:themeColor="background2"/>
                              <w:sz w:val="32"/>
                              <w:szCs w:val="32"/>
                            </w:rPr>
                            <w:t>C</w:t>
                          </w:r>
                          <w:r w:rsidRPr="00957696">
                            <w:rPr>
                              <w:rFonts w:cs="Arial"/>
                              <w:b/>
                              <w:bCs/>
                              <w:color w:val="FFFFFF" w:themeColor="background2"/>
                              <w:sz w:val="32"/>
                              <w:szCs w:val="32"/>
                            </w:rPr>
                            <w:t>ontribution (CDC) code consultation</w:t>
                          </w:r>
                        </w:p>
                        <w:p w14:paraId="6B703948" w14:textId="77777777"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A7113" id="Text Box 6" o:spid="_x0000_s1028" type="#_x0000_t202" style="position:absolute;margin-left:-1.2pt;margin-top:8.5pt;width:473.8pt;height:5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anegIAAGEFAAAOAAAAZHJzL2Uyb0RvYy54bWysVN1v0zAQf0fif7D8ztKWtUXV0qlsGkKa&#10;tokN7dl17DbC9hn72qT89ZydpKsGL0O8OJe7331/XFy21rC9CrEGV/Lx2Ygz5SRUtduU/PvTzYdP&#10;nEUUrhIGnCr5QUV+uXz/7qLxCzWBLZhKBUZGXFw0vuRbRL8oiii3yop4Bl45EmoIViD9hk1RBdGQ&#10;dWuKyWg0KxoIlQ8gVYzEve6EfJnta60k3msdFTJTcooN8xvyu05vsbwQi00QflvLPgzxD1FYUTty&#10;ejR1LVCwXaj/MGVrGSCCxjMJtgCta6lyDpTNePQqm8et8CrnQsWJ/lim+P/Myrv9Q2B1VfIZZ05Y&#10;atGTapF9hpbNUnUaHxcEevQEw5bY1OWBH4mZkm51sOlL6TCSU50Px9omY5KYs9F4PpmRSJJsPp2c&#10;z6fJTPGi7UPELwosS0TJA/Uul1TsbyN20AGSnDm4qY3J/TOONeTh43SUFY4SMm5cwqo8Cb2ZlFEX&#10;eabwYFTCGPdNaapETiAx8gyqKxPYXtD0CCmVw5x7tkvohNIUxFsUe/xLVG9R7vIYPIPDo7KtHYSc&#10;/auwqx9DyLrDU81P8k4ktus2j8BkaOwaqgP1O0C3L9HLm5qacisiPohAC0J9pKXHe3q0ASo+9BRn&#10;Wwi//sZPeJpbknLW0MKVPP7ciaA4M18dTXTazkycT+cT+gkDd33KdTt7BdSNMZ0VLzOZsGgGUgew&#10;z3QTVskbiYST5LPkOJBX2K0/3RSpVqsMol30Am/do5fJdGpOGrWn9lkE388j0iTfwbCSYvFqLDts&#10;0nSw2iHoOs9sqm9Xzb7utMd56vubkw7F6X9GvVzG5W8AAAD//wMAUEsDBBQABgAIAAAAIQBdZz+5&#10;3gAAAAkBAAAPAAAAZHJzL2Rvd25yZXYueG1sTI/NTsMwEITvSLyDtUjcWofQQBviVBVSy4VLC5V6&#10;dOPNj7DXUeym4e1ZTnDcmdHsN8V6claMOITOk4KHeQICqfKmo0bB58d2tgQRoiajrSdU8I0B1uXt&#10;TaFz46+0x/EQG8ElFHKtoI2xz6UMVYtOh7nvkdir/eB05HNopBn0lcudlWmSPEmnO+IPre7xtcXq&#10;63BxCmKo7XZp3sx7vznudkMzrvBUK3V/N21eQESc4l8YfvEZHUpmOvsLmSCsglm64CTrzzyJ/dUi&#10;S0GcWXjMMpBlIf8vKH8AAAD//wMAUEsBAi0AFAAGAAgAAAAhALaDOJL+AAAA4QEAABMAAAAAAAAA&#10;AAAAAAAAAAAAAFtDb250ZW50X1R5cGVzXS54bWxQSwECLQAUAAYACAAAACEAOP0h/9YAAACUAQAA&#10;CwAAAAAAAAAAAAAAAAAvAQAAX3JlbHMvLnJlbHNQSwECLQAUAAYACAAAACEAFchmp3oCAABhBQAA&#10;DgAAAAAAAAAAAAAAAAAuAgAAZHJzL2Uyb0RvYy54bWxQSwECLQAUAAYACAAAACEAXWc/ud4AAAAJ&#10;AQAADwAAAAAAAAAAAAAAAADUBAAAZHJzL2Rvd25yZXYueG1sUEsFBgAAAAAEAAQA8wAAAN8FAAAA&#10;AA==&#10;" filled="f" stroked="f" strokeweight=".5pt">
              <v:textbox inset="0,,0">
                <w:txbxContent>
                  <w:p w14:paraId="00CA4972" w14:textId="440663DD" w:rsidR="008634D2" w:rsidRPr="008634D2" w:rsidRDefault="00957696" w:rsidP="008634D2">
                    <w:pPr>
                      <w:rPr>
                        <w:rFonts w:cs="Arial"/>
                        <w:b/>
                        <w:bCs/>
                        <w:color w:val="FFFFFF" w:themeColor="background2"/>
                        <w:sz w:val="32"/>
                        <w:szCs w:val="32"/>
                      </w:rPr>
                    </w:pPr>
                    <w:r>
                      <w:rPr>
                        <w:rFonts w:cs="Arial"/>
                        <w:b/>
                        <w:bCs/>
                        <w:color w:val="FFFFFF" w:themeColor="background2"/>
                        <w:sz w:val="32"/>
                        <w:szCs w:val="32"/>
                      </w:rPr>
                      <w:t xml:space="preserve">Response to the Pensions Regulator’s </w:t>
                    </w:r>
                    <w:r w:rsidRPr="00957696">
                      <w:rPr>
                        <w:rFonts w:cs="Arial"/>
                        <w:b/>
                        <w:bCs/>
                        <w:color w:val="FFFFFF" w:themeColor="background2"/>
                        <w:sz w:val="32"/>
                        <w:szCs w:val="32"/>
                      </w:rPr>
                      <w:t xml:space="preserve">Collective </w:t>
                    </w:r>
                    <w:r w:rsidR="00B0587C">
                      <w:rPr>
                        <w:rFonts w:cs="Arial"/>
                        <w:b/>
                        <w:bCs/>
                        <w:color w:val="FFFFFF" w:themeColor="background2"/>
                        <w:sz w:val="32"/>
                        <w:szCs w:val="32"/>
                      </w:rPr>
                      <w:t>D</w:t>
                    </w:r>
                    <w:r w:rsidRPr="00957696">
                      <w:rPr>
                        <w:rFonts w:cs="Arial"/>
                        <w:b/>
                        <w:bCs/>
                        <w:color w:val="FFFFFF" w:themeColor="background2"/>
                        <w:sz w:val="32"/>
                        <w:szCs w:val="32"/>
                      </w:rPr>
                      <w:t xml:space="preserve">efined </w:t>
                    </w:r>
                    <w:r w:rsidR="00B0587C">
                      <w:rPr>
                        <w:rFonts w:cs="Arial"/>
                        <w:b/>
                        <w:bCs/>
                        <w:color w:val="FFFFFF" w:themeColor="background2"/>
                        <w:sz w:val="32"/>
                        <w:szCs w:val="32"/>
                      </w:rPr>
                      <w:t>C</w:t>
                    </w:r>
                    <w:r w:rsidRPr="00957696">
                      <w:rPr>
                        <w:rFonts w:cs="Arial"/>
                        <w:b/>
                        <w:bCs/>
                        <w:color w:val="FFFFFF" w:themeColor="background2"/>
                        <w:sz w:val="32"/>
                        <w:szCs w:val="32"/>
                      </w:rPr>
                      <w:t>ontribution (CDC) code consultation</w:t>
                    </w:r>
                  </w:p>
                  <w:p w14:paraId="6B703948" w14:textId="77777777" w:rsidR="00EE3178" w:rsidRPr="00686676" w:rsidRDefault="00EE3178">
                    <w:pPr>
                      <w:rPr>
                        <w:color w:val="FFFFFF" w:themeColor="background2"/>
                      </w:rPr>
                    </w:pPr>
                  </w:p>
                </w:txbxContent>
              </v:textbox>
              <w10:wrap anchorx="margin"/>
            </v:shape>
          </w:pict>
        </mc:Fallback>
      </mc:AlternateContent>
    </w:r>
  </w:p>
  <w:p w14:paraId="03C72BAB" w14:textId="77777777" w:rsidR="00D84325" w:rsidRDefault="00D84325">
    <w:pPr>
      <w:pStyle w:val="Header"/>
    </w:pPr>
  </w:p>
  <w:p w14:paraId="0AE2FC1E" w14:textId="77777777" w:rsidR="00D84325" w:rsidRDefault="00D84325">
    <w:pPr>
      <w:pStyle w:val="Header"/>
    </w:pPr>
  </w:p>
  <w:p w14:paraId="40EEB8D4" w14:textId="77777777" w:rsidR="00686676" w:rsidRDefault="00990DEA">
    <w:pPr>
      <w:pStyle w:val="Header"/>
    </w:pPr>
    <w:r>
      <w:rPr>
        <w:noProof/>
        <w:lang w:eastAsia="en-GB"/>
      </w:rPr>
      <mc:AlternateContent>
        <mc:Choice Requires="wps">
          <w:drawing>
            <wp:anchor distT="0" distB="0" distL="114300" distR="114300" simplePos="0" relativeHeight="251652096" behindDoc="0" locked="0" layoutInCell="1" allowOverlap="1" wp14:anchorId="67ECE198" wp14:editId="05976BD9">
              <wp:simplePos x="0" y="0"/>
              <wp:positionH relativeFrom="margin">
                <wp:posOffset>-5716</wp:posOffset>
              </wp:positionH>
              <wp:positionV relativeFrom="paragraph">
                <wp:posOffset>469900</wp:posOffset>
              </wp:positionV>
              <wp:extent cx="6257925" cy="762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579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B5492" w14:textId="77777777" w:rsidR="00686676" w:rsidRPr="00EE3178" w:rsidRDefault="00686676" w:rsidP="00686676">
                          <w:pPr>
                            <w:rPr>
                              <w:rFonts w:cs="Arial"/>
                              <w:color w:val="FFFFFF" w:themeColor="background2"/>
                              <w:sz w:val="18"/>
                            </w:rPr>
                          </w:pPr>
                          <w:r w:rsidRPr="00EE3178">
                            <w:rPr>
                              <w:rFonts w:cs="Arial"/>
                              <w:color w:val="FFFFFF" w:themeColor="background2"/>
                              <w:sz w:val="18"/>
                            </w:rPr>
                            <w:t>The Institute and Faculty of Actuaries (</w:t>
                          </w:r>
                          <w:proofErr w:type="spellStart"/>
                          <w:r w:rsidRPr="00EE3178">
                            <w:rPr>
                              <w:rFonts w:cs="Arial"/>
                              <w:color w:val="FFFFFF" w:themeColor="background2"/>
                              <w:sz w:val="18"/>
                            </w:rPr>
                            <w:t>IFoA</w:t>
                          </w:r>
                          <w:proofErr w:type="spellEnd"/>
                          <w:r w:rsidRPr="00EE3178">
                            <w:rPr>
                              <w:rFonts w:cs="Arial"/>
                              <w:color w:val="FFFFFF" w:themeColor="background2"/>
                              <w:sz w:val="18"/>
                            </w:rPr>
                            <w:t xml:space="preserve">) is a royal chartered, not-for-profit, professional body. We represent and regulate over 32,000 actuaries worldwide, and oversee their education at all stages of qualification and development throughout their careers.  </w:t>
                          </w:r>
                        </w:p>
                        <w:p w14:paraId="05E84540" w14:textId="77777777" w:rsidR="00686676" w:rsidRPr="00686676" w:rsidRDefault="00686676">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E198" id="Text Box 3" o:spid="_x0000_s1029" type="#_x0000_t202" style="position:absolute;margin-left:-.45pt;margin-top:37pt;width:492.75pt;height:6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MyfAIAAGEFAAAOAAAAZHJzL2Uyb0RvYy54bWysVFFP2zAQfp+0/2D5faSUFbaKFHUgpkkI&#10;0GDi2XVsGs3xebbbpPv1fHaSgthemPbiXO6+O999d+fTs64xbKt8qMmW/PBgwpmykqraPpb8x/3l&#10;h0+chShsJQxZVfKdCvxs8f7daevmakprMpXyDEFsmLeu5OsY3bwoglyrRoQDcsrCqMk3IuLXPxaV&#10;Fy2iN6aYTibHRUu+cp6kCgHai97IFzm+1krGG62DisyUHLnFfPp8rtJZLE7F/NELt67lkIb4hywa&#10;UVtcug91IaJgG1//EaqppadAOh5IagrSupYq14BqDievqrlbC6dyLSAnuD1N4f+FldfbW8/qquRH&#10;nFnRoEX3qovsC3XsKLHTujAH6M4BFjuo0eVRH6BMRXfaN+mLchjs4Hm35zYFk1AeT2cnn6czziRs&#10;J8foXSa/ePZ2PsSvihqWhJJ79C5TKrZXISITQEdIuszSZW1M7p+xrMUNR7NJdthb4GFswqo8CUOY&#10;VFGfeZbizqiEMfa70mAiF5AUeQbVufFsKzA9QkplY649xwU6oTSSeIvjgH/O6i3OfR3jzWTj3rmp&#10;Lflc/au0q59jyrrHg8gXdScxdqtuGIGh4Suqdui3p35fgpOXNZpyJUK8FR4LghZj6eMNDm0I5NMg&#10;cbYm//tv+oTH3MLKWYuFK3n4tRFecWa+WUx02s4sfJydTPHjR+3qpdZumnNCNw7xrDiZxYSNZhS1&#10;p+YBb8Iy3QaTsBJ3ljyO4nns1x9vilTLZQZhF52IV/bOyRQ6NSeN2n33ILwb5jFikq9pXEkxfzWW&#10;PTZ5WlpuIuk6z2zit2dz4B17nEd5eHPSQ/HyP6OeX8bFEwAAAP//AwBQSwMEFAAGAAgAAAAhADDp&#10;hqTcAAAACAEAAA8AAABkcnMvZG93bnJldi54bWxMj81OwzAQhO9IvIO1SNxaB1SVJI1TVUgtFy4U&#10;kDi68eZHtdeR7abh7VlOcNyZT7Mz1XZ2VkwY4uBJwcMyA4HUeDNQp+Djfb/IQcSkyWjrCRV8Y4Rt&#10;fXtT6dL4K73hdEyd4BCKpVbQpzSWUsamR6fj0o9I7LU+OJ34DJ00QV853Fn5mGVr6fRA/KHXIz73&#10;2JyPF6cgxdbuc/NiXsfd5+EQuqnAr1ap+7t5twGRcE5/MPzW5+pQc6eTv5CJwipYFAwqeFrxIraL&#10;fLUGcWKuYEXWlfw/oP4BAAD//wMAUEsBAi0AFAAGAAgAAAAhALaDOJL+AAAA4QEAABMAAAAAAAAA&#10;AAAAAAAAAAAAAFtDb250ZW50X1R5cGVzXS54bWxQSwECLQAUAAYACAAAACEAOP0h/9YAAACUAQAA&#10;CwAAAAAAAAAAAAAAAAAvAQAAX3JlbHMvLnJlbHNQSwECLQAUAAYACAAAACEAH05jMnwCAABhBQAA&#10;DgAAAAAAAAAAAAAAAAAuAgAAZHJzL2Uyb0RvYy54bWxQSwECLQAUAAYACAAAACEAMOmGpNwAAAAI&#10;AQAADwAAAAAAAAAAAAAAAADWBAAAZHJzL2Rvd25yZXYueG1sUEsFBgAAAAAEAAQA8wAAAN8FAAAA&#10;AA==&#10;" filled="f" stroked="f" strokeweight=".5pt">
              <v:textbox inset="0,,0">
                <w:txbxContent>
                  <w:p w14:paraId="35FB5492" w14:textId="77777777"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t>
                    </w:r>
                    <w:proofErr w:type="gramStart"/>
                    <w:r w:rsidRPr="00EE3178">
                      <w:rPr>
                        <w:rFonts w:cs="Arial"/>
                        <w:color w:val="FFFFFF" w:themeColor="background2"/>
                        <w:sz w:val="18"/>
                      </w:rPr>
                      <w:t>worldwide, and</w:t>
                    </w:r>
                    <w:proofErr w:type="gramEnd"/>
                    <w:r w:rsidRPr="00EE3178">
                      <w:rPr>
                        <w:rFonts w:cs="Arial"/>
                        <w:color w:val="FFFFFF" w:themeColor="background2"/>
                        <w:sz w:val="18"/>
                      </w:rPr>
                      <w:t xml:space="preserve"> oversee their education at all stages of qualification and development throughout their careers.  </w:t>
                    </w:r>
                  </w:p>
                  <w:p w14:paraId="05E84540" w14:textId="77777777" w:rsidR="00686676" w:rsidRPr="00686676" w:rsidRDefault="00686676">
                    <w:pPr>
                      <w:rPr>
                        <w:color w:val="FFFFFF" w:themeColor="background2"/>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DFA"/>
    <w:multiLevelType w:val="hybridMultilevel"/>
    <w:tmpl w:val="2098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1016D"/>
    <w:multiLevelType w:val="hybridMultilevel"/>
    <w:tmpl w:val="03B23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F">
      <w:start w:val="1"/>
      <w:numFmt w:val="decimal"/>
      <w:lvlText w:val="%3."/>
      <w:lvlJc w:val="left"/>
      <w:pPr>
        <w:ind w:left="1800" w:hanging="360"/>
      </w:pPr>
    </w:lvl>
    <w:lvl w:ilvl="3" w:tplc="08090017">
      <w:start w:val="1"/>
      <w:numFmt w:val="lowerLetter"/>
      <w:lvlText w:val="%4)"/>
      <w:lvlJc w:val="left"/>
      <w:pPr>
        <w:ind w:left="2520" w:hanging="360"/>
      </w:p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4C32E4"/>
    <w:multiLevelType w:val="hybridMultilevel"/>
    <w:tmpl w:val="0EDC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154DD"/>
    <w:multiLevelType w:val="hybridMultilevel"/>
    <w:tmpl w:val="C4C0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F68AF"/>
    <w:multiLevelType w:val="hybridMultilevel"/>
    <w:tmpl w:val="12E2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43E72"/>
    <w:multiLevelType w:val="hybridMultilevel"/>
    <w:tmpl w:val="FA5C322E"/>
    <w:lvl w:ilvl="0" w:tplc="BB6A8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A1B45"/>
    <w:multiLevelType w:val="hybridMultilevel"/>
    <w:tmpl w:val="072CA450"/>
    <w:lvl w:ilvl="0" w:tplc="998C1CD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ED0441"/>
    <w:multiLevelType w:val="hybridMultilevel"/>
    <w:tmpl w:val="C67A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F650C"/>
    <w:multiLevelType w:val="hybridMultilevel"/>
    <w:tmpl w:val="CFF692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BD4835"/>
    <w:multiLevelType w:val="hybridMultilevel"/>
    <w:tmpl w:val="CC38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7160C"/>
    <w:multiLevelType w:val="hybridMultilevel"/>
    <w:tmpl w:val="B8DAF10A"/>
    <w:lvl w:ilvl="0" w:tplc="F4FE6D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BE22B6"/>
    <w:multiLevelType w:val="multilevel"/>
    <w:tmpl w:val="B890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9239D4"/>
    <w:multiLevelType w:val="hybridMultilevel"/>
    <w:tmpl w:val="E8F4903C"/>
    <w:lvl w:ilvl="0" w:tplc="EC3C37C4">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CB74D5"/>
    <w:multiLevelType w:val="hybridMultilevel"/>
    <w:tmpl w:val="CA14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57C78"/>
    <w:multiLevelType w:val="hybridMultilevel"/>
    <w:tmpl w:val="BB4A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535AD"/>
    <w:multiLevelType w:val="multilevel"/>
    <w:tmpl w:val="C7049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D5D5C59"/>
    <w:multiLevelType w:val="hybridMultilevel"/>
    <w:tmpl w:val="14B6F3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BC040D"/>
    <w:multiLevelType w:val="hybridMultilevel"/>
    <w:tmpl w:val="24EE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E6F88"/>
    <w:multiLevelType w:val="hybridMultilevel"/>
    <w:tmpl w:val="0D3AE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21ADA"/>
    <w:multiLevelType w:val="multilevel"/>
    <w:tmpl w:val="A4667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064A32"/>
    <w:multiLevelType w:val="hybridMultilevel"/>
    <w:tmpl w:val="4046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41454"/>
    <w:multiLevelType w:val="hybridMultilevel"/>
    <w:tmpl w:val="1B48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35DCC"/>
    <w:multiLevelType w:val="hybridMultilevel"/>
    <w:tmpl w:val="D62E4E9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8D72F3"/>
    <w:multiLevelType w:val="multilevel"/>
    <w:tmpl w:val="3FAA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1A7583"/>
    <w:multiLevelType w:val="hybridMultilevel"/>
    <w:tmpl w:val="D8C48EEE"/>
    <w:lvl w:ilvl="0" w:tplc="98324EB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717338"/>
    <w:multiLevelType w:val="hybridMultilevel"/>
    <w:tmpl w:val="148A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40328"/>
    <w:multiLevelType w:val="hybridMultilevel"/>
    <w:tmpl w:val="1EFC319C"/>
    <w:lvl w:ilvl="0" w:tplc="F73E96F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452926"/>
    <w:multiLevelType w:val="hybridMultilevel"/>
    <w:tmpl w:val="84EC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76262"/>
    <w:multiLevelType w:val="hybridMultilevel"/>
    <w:tmpl w:val="0F38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B06A6"/>
    <w:multiLevelType w:val="hybridMultilevel"/>
    <w:tmpl w:val="78B2A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2A6C3E"/>
    <w:multiLevelType w:val="hybridMultilevel"/>
    <w:tmpl w:val="721C3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083973"/>
    <w:multiLevelType w:val="hybridMultilevel"/>
    <w:tmpl w:val="B0A06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D24CA"/>
    <w:multiLevelType w:val="hybridMultilevel"/>
    <w:tmpl w:val="28A0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2031F2"/>
    <w:multiLevelType w:val="hybridMultilevel"/>
    <w:tmpl w:val="96DE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9608B4"/>
    <w:multiLevelType w:val="hybridMultilevel"/>
    <w:tmpl w:val="2098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714D83"/>
    <w:multiLevelType w:val="hybridMultilevel"/>
    <w:tmpl w:val="9580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C3F7F"/>
    <w:multiLevelType w:val="hybridMultilevel"/>
    <w:tmpl w:val="97BCAC4E"/>
    <w:lvl w:ilvl="0" w:tplc="8C5A037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76344284">
    <w:abstractNumId w:val="31"/>
  </w:num>
  <w:num w:numId="2" w16cid:durableId="182937924">
    <w:abstractNumId w:val="3"/>
  </w:num>
  <w:num w:numId="3" w16cid:durableId="965114578">
    <w:abstractNumId w:val="32"/>
  </w:num>
  <w:num w:numId="4" w16cid:durableId="153692340">
    <w:abstractNumId w:val="28"/>
  </w:num>
  <w:num w:numId="5" w16cid:durableId="509220124">
    <w:abstractNumId w:val="18"/>
  </w:num>
  <w:num w:numId="6" w16cid:durableId="1093168206">
    <w:abstractNumId w:val="17"/>
  </w:num>
  <w:num w:numId="7" w16cid:durableId="1471898270">
    <w:abstractNumId w:val="2"/>
  </w:num>
  <w:num w:numId="8" w16cid:durableId="211623577">
    <w:abstractNumId w:val="27"/>
  </w:num>
  <w:num w:numId="9" w16cid:durableId="715396597">
    <w:abstractNumId w:val="16"/>
  </w:num>
  <w:num w:numId="10" w16cid:durableId="1683782757">
    <w:abstractNumId w:val="29"/>
  </w:num>
  <w:num w:numId="11" w16cid:durableId="352612614">
    <w:abstractNumId w:val="4"/>
  </w:num>
  <w:num w:numId="12" w16cid:durableId="1272397351">
    <w:abstractNumId w:val="6"/>
  </w:num>
  <w:num w:numId="13" w16cid:durableId="1457528457">
    <w:abstractNumId w:val="0"/>
  </w:num>
  <w:num w:numId="14" w16cid:durableId="206768982">
    <w:abstractNumId w:val="34"/>
  </w:num>
  <w:num w:numId="15" w16cid:durableId="1109399656">
    <w:abstractNumId w:val="36"/>
  </w:num>
  <w:num w:numId="16" w16cid:durableId="1519388912">
    <w:abstractNumId w:val="22"/>
  </w:num>
  <w:num w:numId="17" w16cid:durableId="855730291">
    <w:abstractNumId w:val="8"/>
  </w:num>
  <w:num w:numId="18" w16cid:durableId="519508631">
    <w:abstractNumId w:val="10"/>
  </w:num>
  <w:num w:numId="19" w16cid:durableId="768962823">
    <w:abstractNumId w:val="26"/>
  </w:num>
  <w:num w:numId="20" w16cid:durableId="1077750232">
    <w:abstractNumId w:val="24"/>
  </w:num>
  <w:num w:numId="21" w16cid:durableId="806360144">
    <w:abstractNumId w:val="30"/>
  </w:num>
  <w:num w:numId="22" w16cid:durableId="2001275872">
    <w:abstractNumId w:val="23"/>
  </w:num>
  <w:num w:numId="23" w16cid:durableId="1776293296">
    <w:abstractNumId w:val="11"/>
  </w:num>
  <w:num w:numId="24" w16cid:durableId="701511954">
    <w:abstractNumId w:val="25"/>
  </w:num>
  <w:num w:numId="25" w16cid:durableId="485054942">
    <w:abstractNumId w:val="19"/>
  </w:num>
  <w:num w:numId="26" w16cid:durableId="53243212">
    <w:abstractNumId w:val="35"/>
  </w:num>
  <w:num w:numId="27" w16cid:durableId="16428107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9188963">
    <w:abstractNumId w:val="5"/>
  </w:num>
  <w:num w:numId="29" w16cid:durableId="2000689098">
    <w:abstractNumId w:val="7"/>
  </w:num>
  <w:num w:numId="30" w16cid:durableId="1588342281">
    <w:abstractNumId w:val="20"/>
  </w:num>
  <w:num w:numId="31" w16cid:durableId="1332947892">
    <w:abstractNumId w:val="21"/>
  </w:num>
  <w:num w:numId="32" w16cid:durableId="1921789787">
    <w:abstractNumId w:val="13"/>
  </w:num>
  <w:num w:numId="33" w16cid:durableId="480734220">
    <w:abstractNumId w:val="33"/>
  </w:num>
  <w:num w:numId="34" w16cid:durableId="1433547385">
    <w:abstractNumId w:val="9"/>
  </w:num>
  <w:num w:numId="35" w16cid:durableId="382219372">
    <w:abstractNumId w:val="14"/>
  </w:num>
  <w:num w:numId="36" w16cid:durableId="185292081">
    <w:abstractNumId w:val="1"/>
    <w:lvlOverride w:ilvl="0"/>
    <w:lvlOverride w:ilvl="1"/>
    <w:lvlOverride w:ilvl="2">
      <w:startOverride w:val="1"/>
    </w:lvlOverride>
    <w:lvlOverride w:ilvl="3">
      <w:startOverride w:val="1"/>
    </w:lvlOverride>
    <w:lvlOverride w:ilvl="4"/>
    <w:lvlOverride w:ilvl="5"/>
    <w:lvlOverride w:ilvl="6"/>
    <w:lvlOverride w:ilvl="7"/>
    <w:lvlOverride w:ilvl="8"/>
  </w:num>
  <w:num w:numId="37" w16cid:durableId="1100641835">
    <w:abstractNumId w:val="12"/>
  </w:num>
  <w:num w:numId="38" w16cid:durableId="808942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OLogoVersion" w:val="4"/>
  </w:docVars>
  <w:rsids>
    <w:rsidRoot w:val="003A53DE"/>
    <w:rsid w:val="00026B98"/>
    <w:rsid w:val="0003259D"/>
    <w:rsid w:val="00032E3A"/>
    <w:rsid w:val="0003638F"/>
    <w:rsid w:val="00036990"/>
    <w:rsid w:val="0005302C"/>
    <w:rsid w:val="0005404F"/>
    <w:rsid w:val="00054EDB"/>
    <w:rsid w:val="000578A4"/>
    <w:rsid w:val="000614E3"/>
    <w:rsid w:val="0006274D"/>
    <w:rsid w:val="000645F1"/>
    <w:rsid w:val="00072222"/>
    <w:rsid w:val="0007250F"/>
    <w:rsid w:val="00075949"/>
    <w:rsid w:val="00083DBE"/>
    <w:rsid w:val="00094254"/>
    <w:rsid w:val="00094D78"/>
    <w:rsid w:val="000A062E"/>
    <w:rsid w:val="000A1223"/>
    <w:rsid w:val="000A19D9"/>
    <w:rsid w:val="000A3E7F"/>
    <w:rsid w:val="000A4456"/>
    <w:rsid w:val="000A4C20"/>
    <w:rsid w:val="000A4E9A"/>
    <w:rsid w:val="000B7733"/>
    <w:rsid w:val="000C2372"/>
    <w:rsid w:val="000C422B"/>
    <w:rsid w:val="000C4679"/>
    <w:rsid w:val="000C55B4"/>
    <w:rsid w:val="000D14BA"/>
    <w:rsid w:val="000D45F7"/>
    <w:rsid w:val="000D513E"/>
    <w:rsid w:val="000E422D"/>
    <w:rsid w:val="000F48B8"/>
    <w:rsid w:val="00102DA0"/>
    <w:rsid w:val="00104357"/>
    <w:rsid w:val="00111128"/>
    <w:rsid w:val="001135DD"/>
    <w:rsid w:val="001155FE"/>
    <w:rsid w:val="001166F6"/>
    <w:rsid w:val="0012080B"/>
    <w:rsid w:val="00126EA7"/>
    <w:rsid w:val="00127067"/>
    <w:rsid w:val="0013013A"/>
    <w:rsid w:val="00141128"/>
    <w:rsid w:val="0014671E"/>
    <w:rsid w:val="00153B71"/>
    <w:rsid w:val="00156CFB"/>
    <w:rsid w:val="00161879"/>
    <w:rsid w:val="00167854"/>
    <w:rsid w:val="00170FE6"/>
    <w:rsid w:val="00172845"/>
    <w:rsid w:val="00176418"/>
    <w:rsid w:val="0018326A"/>
    <w:rsid w:val="00190F29"/>
    <w:rsid w:val="001A4766"/>
    <w:rsid w:val="001A7536"/>
    <w:rsid w:val="001A7B29"/>
    <w:rsid w:val="001B6CA2"/>
    <w:rsid w:val="001B71AC"/>
    <w:rsid w:val="001C55BD"/>
    <w:rsid w:val="001C66C1"/>
    <w:rsid w:val="001D1BD8"/>
    <w:rsid w:val="001E14B2"/>
    <w:rsid w:val="001E3653"/>
    <w:rsid w:val="001E4519"/>
    <w:rsid w:val="00203E0A"/>
    <w:rsid w:val="00204F58"/>
    <w:rsid w:val="002124C4"/>
    <w:rsid w:val="00221026"/>
    <w:rsid w:val="002235A0"/>
    <w:rsid w:val="00245656"/>
    <w:rsid w:val="0025345D"/>
    <w:rsid w:val="00255582"/>
    <w:rsid w:val="00283F19"/>
    <w:rsid w:val="00295A8E"/>
    <w:rsid w:val="002B1834"/>
    <w:rsid w:val="002C0B47"/>
    <w:rsid w:val="002D5243"/>
    <w:rsid w:val="002D5F22"/>
    <w:rsid w:val="002F15BC"/>
    <w:rsid w:val="002F3640"/>
    <w:rsid w:val="003115D1"/>
    <w:rsid w:val="003127AB"/>
    <w:rsid w:val="00312C3C"/>
    <w:rsid w:val="0031394C"/>
    <w:rsid w:val="0031599C"/>
    <w:rsid w:val="0032080E"/>
    <w:rsid w:val="003222AE"/>
    <w:rsid w:val="0032726D"/>
    <w:rsid w:val="00327358"/>
    <w:rsid w:val="00330C92"/>
    <w:rsid w:val="00334CF1"/>
    <w:rsid w:val="00340C80"/>
    <w:rsid w:val="00341B0E"/>
    <w:rsid w:val="00343242"/>
    <w:rsid w:val="00353E3A"/>
    <w:rsid w:val="00357CF6"/>
    <w:rsid w:val="00357E72"/>
    <w:rsid w:val="00367EE0"/>
    <w:rsid w:val="00371AA8"/>
    <w:rsid w:val="003731F1"/>
    <w:rsid w:val="0037471C"/>
    <w:rsid w:val="00375442"/>
    <w:rsid w:val="003759CB"/>
    <w:rsid w:val="00380628"/>
    <w:rsid w:val="00381135"/>
    <w:rsid w:val="003940F0"/>
    <w:rsid w:val="00394DCB"/>
    <w:rsid w:val="00396145"/>
    <w:rsid w:val="0039783F"/>
    <w:rsid w:val="003A08EE"/>
    <w:rsid w:val="003A1370"/>
    <w:rsid w:val="003A1E8A"/>
    <w:rsid w:val="003A53DE"/>
    <w:rsid w:val="003B477A"/>
    <w:rsid w:val="003B74D2"/>
    <w:rsid w:val="003F4715"/>
    <w:rsid w:val="003F556C"/>
    <w:rsid w:val="003F5BB9"/>
    <w:rsid w:val="00401959"/>
    <w:rsid w:val="0041222A"/>
    <w:rsid w:val="00412244"/>
    <w:rsid w:val="0041487D"/>
    <w:rsid w:val="00421032"/>
    <w:rsid w:val="00422E00"/>
    <w:rsid w:val="00425D75"/>
    <w:rsid w:val="0042798F"/>
    <w:rsid w:val="0043285F"/>
    <w:rsid w:val="004346BB"/>
    <w:rsid w:val="00436061"/>
    <w:rsid w:val="004429CF"/>
    <w:rsid w:val="004442A2"/>
    <w:rsid w:val="00472CE5"/>
    <w:rsid w:val="00474F45"/>
    <w:rsid w:val="0047519A"/>
    <w:rsid w:val="004802E3"/>
    <w:rsid w:val="00480910"/>
    <w:rsid w:val="00487614"/>
    <w:rsid w:val="00490EBE"/>
    <w:rsid w:val="00494021"/>
    <w:rsid w:val="004B1349"/>
    <w:rsid w:val="004B2BA1"/>
    <w:rsid w:val="004B5F50"/>
    <w:rsid w:val="004C09A6"/>
    <w:rsid w:val="004C21BA"/>
    <w:rsid w:val="004D73B3"/>
    <w:rsid w:val="004D7E09"/>
    <w:rsid w:val="004F03AB"/>
    <w:rsid w:val="004F4427"/>
    <w:rsid w:val="004F61CD"/>
    <w:rsid w:val="00504276"/>
    <w:rsid w:val="00510324"/>
    <w:rsid w:val="0051360A"/>
    <w:rsid w:val="005161BD"/>
    <w:rsid w:val="00516A87"/>
    <w:rsid w:val="005201E9"/>
    <w:rsid w:val="0052522D"/>
    <w:rsid w:val="005370EF"/>
    <w:rsid w:val="00550C49"/>
    <w:rsid w:val="005570C3"/>
    <w:rsid w:val="00565FFD"/>
    <w:rsid w:val="0056607A"/>
    <w:rsid w:val="005813CF"/>
    <w:rsid w:val="0058149A"/>
    <w:rsid w:val="00584097"/>
    <w:rsid w:val="0058436F"/>
    <w:rsid w:val="005849B0"/>
    <w:rsid w:val="00587739"/>
    <w:rsid w:val="005914E1"/>
    <w:rsid w:val="0059653B"/>
    <w:rsid w:val="005A7FB3"/>
    <w:rsid w:val="005B088F"/>
    <w:rsid w:val="005B7967"/>
    <w:rsid w:val="005C3B3B"/>
    <w:rsid w:val="005E1256"/>
    <w:rsid w:val="005E48EB"/>
    <w:rsid w:val="005E742A"/>
    <w:rsid w:val="005F340A"/>
    <w:rsid w:val="005F7F8F"/>
    <w:rsid w:val="00622B4A"/>
    <w:rsid w:val="00625633"/>
    <w:rsid w:val="006652FB"/>
    <w:rsid w:val="00686676"/>
    <w:rsid w:val="006A257C"/>
    <w:rsid w:val="006A30C1"/>
    <w:rsid w:val="006A605D"/>
    <w:rsid w:val="006E343C"/>
    <w:rsid w:val="006E5CC8"/>
    <w:rsid w:val="006F2ACA"/>
    <w:rsid w:val="006F43DF"/>
    <w:rsid w:val="00705432"/>
    <w:rsid w:val="00705D91"/>
    <w:rsid w:val="00706066"/>
    <w:rsid w:val="007132EA"/>
    <w:rsid w:val="00715D3D"/>
    <w:rsid w:val="00717EB4"/>
    <w:rsid w:val="00720FF1"/>
    <w:rsid w:val="00727A03"/>
    <w:rsid w:val="00734464"/>
    <w:rsid w:val="00737664"/>
    <w:rsid w:val="0073774F"/>
    <w:rsid w:val="00740988"/>
    <w:rsid w:val="007422A6"/>
    <w:rsid w:val="007476BF"/>
    <w:rsid w:val="00751F11"/>
    <w:rsid w:val="00764732"/>
    <w:rsid w:val="00772859"/>
    <w:rsid w:val="00783C5A"/>
    <w:rsid w:val="00791DB6"/>
    <w:rsid w:val="007927A1"/>
    <w:rsid w:val="0079411F"/>
    <w:rsid w:val="007A5ECE"/>
    <w:rsid w:val="007A73D0"/>
    <w:rsid w:val="007E4A0F"/>
    <w:rsid w:val="007E5E97"/>
    <w:rsid w:val="007F66C8"/>
    <w:rsid w:val="00800427"/>
    <w:rsid w:val="00821428"/>
    <w:rsid w:val="00831A06"/>
    <w:rsid w:val="00831DB0"/>
    <w:rsid w:val="008355AB"/>
    <w:rsid w:val="00840D0C"/>
    <w:rsid w:val="00843778"/>
    <w:rsid w:val="00851AE6"/>
    <w:rsid w:val="00860DD0"/>
    <w:rsid w:val="008634D2"/>
    <w:rsid w:val="008678DD"/>
    <w:rsid w:val="00872B28"/>
    <w:rsid w:val="0087529C"/>
    <w:rsid w:val="00881394"/>
    <w:rsid w:val="00884ED1"/>
    <w:rsid w:val="008922BF"/>
    <w:rsid w:val="008B6A44"/>
    <w:rsid w:val="008C2015"/>
    <w:rsid w:val="008C5C16"/>
    <w:rsid w:val="008D1CAA"/>
    <w:rsid w:val="008D5E7E"/>
    <w:rsid w:val="008E1B4D"/>
    <w:rsid w:val="008E1C63"/>
    <w:rsid w:val="008F0CE6"/>
    <w:rsid w:val="008F2FD3"/>
    <w:rsid w:val="008F62E7"/>
    <w:rsid w:val="008F6CE6"/>
    <w:rsid w:val="00902AA7"/>
    <w:rsid w:val="009050E4"/>
    <w:rsid w:val="00912AA6"/>
    <w:rsid w:val="009176F9"/>
    <w:rsid w:val="00930004"/>
    <w:rsid w:val="00931E6B"/>
    <w:rsid w:val="00934E4D"/>
    <w:rsid w:val="0093742B"/>
    <w:rsid w:val="00953B19"/>
    <w:rsid w:val="00956DFA"/>
    <w:rsid w:val="00957071"/>
    <w:rsid w:val="00957696"/>
    <w:rsid w:val="0096616D"/>
    <w:rsid w:val="009756E6"/>
    <w:rsid w:val="00981128"/>
    <w:rsid w:val="00983A6C"/>
    <w:rsid w:val="00983BC0"/>
    <w:rsid w:val="0098594B"/>
    <w:rsid w:val="00990DEA"/>
    <w:rsid w:val="009A4073"/>
    <w:rsid w:val="009B1428"/>
    <w:rsid w:val="009B1A7C"/>
    <w:rsid w:val="009B6834"/>
    <w:rsid w:val="009C18D3"/>
    <w:rsid w:val="009C3E80"/>
    <w:rsid w:val="009C44F5"/>
    <w:rsid w:val="009C6C32"/>
    <w:rsid w:val="009D752A"/>
    <w:rsid w:val="009E040D"/>
    <w:rsid w:val="009E4A8D"/>
    <w:rsid w:val="009E5D4E"/>
    <w:rsid w:val="009F0E1A"/>
    <w:rsid w:val="00A07A37"/>
    <w:rsid w:val="00A07F65"/>
    <w:rsid w:val="00A24D33"/>
    <w:rsid w:val="00A317B9"/>
    <w:rsid w:val="00A31931"/>
    <w:rsid w:val="00A31E1B"/>
    <w:rsid w:val="00A3328D"/>
    <w:rsid w:val="00A40E03"/>
    <w:rsid w:val="00A4146F"/>
    <w:rsid w:val="00A41ECA"/>
    <w:rsid w:val="00A455C8"/>
    <w:rsid w:val="00A46248"/>
    <w:rsid w:val="00A47407"/>
    <w:rsid w:val="00A52072"/>
    <w:rsid w:val="00A81EF7"/>
    <w:rsid w:val="00A848BE"/>
    <w:rsid w:val="00A93368"/>
    <w:rsid w:val="00A94D68"/>
    <w:rsid w:val="00AE2477"/>
    <w:rsid w:val="00AE71C6"/>
    <w:rsid w:val="00AF2737"/>
    <w:rsid w:val="00B0587C"/>
    <w:rsid w:val="00B077AC"/>
    <w:rsid w:val="00B11613"/>
    <w:rsid w:val="00B13991"/>
    <w:rsid w:val="00B16BAA"/>
    <w:rsid w:val="00B24A17"/>
    <w:rsid w:val="00B35051"/>
    <w:rsid w:val="00B36049"/>
    <w:rsid w:val="00B40A9B"/>
    <w:rsid w:val="00B5381E"/>
    <w:rsid w:val="00B63CE9"/>
    <w:rsid w:val="00B652E6"/>
    <w:rsid w:val="00B67073"/>
    <w:rsid w:val="00B727E7"/>
    <w:rsid w:val="00B7544F"/>
    <w:rsid w:val="00B76CF7"/>
    <w:rsid w:val="00B82632"/>
    <w:rsid w:val="00B82E07"/>
    <w:rsid w:val="00B90804"/>
    <w:rsid w:val="00B911FF"/>
    <w:rsid w:val="00B94369"/>
    <w:rsid w:val="00BA3D2B"/>
    <w:rsid w:val="00BA6881"/>
    <w:rsid w:val="00BB4058"/>
    <w:rsid w:val="00BB7841"/>
    <w:rsid w:val="00BC52F2"/>
    <w:rsid w:val="00BD44CC"/>
    <w:rsid w:val="00BD4FE2"/>
    <w:rsid w:val="00BD735E"/>
    <w:rsid w:val="00BE0C13"/>
    <w:rsid w:val="00BE64D8"/>
    <w:rsid w:val="00BE7AC5"/>
    <w:rsid w:val="00BF4E11"/>
    <w:rsid w:val="00C04129"/>
    <w:rsid w:val="00C24441"/>
    <w:rsid w:val="00C25047"/>
    <w:rsid w:val="00C261A7"/>
    <w:rsid w:val="00C422AB"/>
    <w:rsid w:val="00C53DE4"/>
    <w:rsid w:val="00C62579"/>
    <w:rsid w:val="00C65D1D"/>
    <w:rsid w:val="00C721C7"/>
    <w:rsid w:val="00C82A4D"/>
    <w:rsid w:val="00C96677"/>
    <w:rsid w:val="00CA4082"/>
    <w:rsid w:val="00CA4CC9"/>
    <w:rsid w:val="00CA62E3"/>
    <w:rsid w:val="00CB568C"/>
    <w:rsid w:val="00CC3498"/>
    <w:rsid w:val="00CD07FC"/>
    <w:rsid w:val="00CE3C25"/>
    <w:rsid w:val="00CF06AC"/>
    <w:rsid w:val="00CF69E6"/>
    <w:rsid w:val="00CF7B31"/>
    <w:rsid w:val="00D035A4"/>
    <w:rsid w:val="00D051BE"/>
    <w:rsid w:val="00D06F95"/>
    <w:rsid w:val="00D1204C"/>
    <w:rsid w:val="00D15B52"/>
    <w:rsid w:val="00D36BC9"/>
    <w:rsid w:val="00D41137"/>
    <w:rsid w:val="00D42464"/>
    <w:rsid w:val="00D454D5"/>
    <w:rsid w:val="00D47ED5"/>
    <w:rsid w:val="00D52CE5"/>
    <w:rsid w:val="00D5366F"/>
    <w:rsid w:val="00D56402"/>
    <w:rsid w:val="00D600CD"/>
    <w:rsid w:val="00D701D8"/>
    <w:rsid w:val="00D80AFE"/>
    <w:rsid w:val="00D84325"/>
    <w:rsid w:val="00D84CE9"/>
    <w:rsid w:val="00D94224"/>
    <w:rsid w:val="00D96DB5"/>
    <w:rsid w:val="00D97D36"/>
    <w:rsid w:val="00DB5427"/>
    <w:rsid w:val="00DB616D"/>
    <w:rsid w:val="00DC76D3"/>
    <w:rsid w:val="00DD067D"/>
    <w:rsid w:val="00DD44E3"/>
    <w:rsid w:val="00DD57BC"/>
    <w:rsid w:val="00DD6D4B"/>
    <w:rsid w:val="00DE14D5"/>
    <w:rsid w:val="00DE30D6"/>
    <w:rsid w:val="00DF26DC"/>
    <w:rsid w:val="00E00AB2"/>
    <w:rsid w:val="00E00B00"/>
    <w:rsid w:val="00E0557B"/>
    <w:rsid w:val="00E11E98"/>
    <w:rsid w:val="00E24768"/>
    <w:rsid w:val="00E27D5E"/>
    <w:rsid w:val="00E3235F"/>
    <w:rsid w:val="00E37637"/>
    <w:rsid w:val="00E41223"/>
    <w:rsid w:val="00E50234"/>
    <w:rsid w:val="00E52285"/>
    <w:rsid w:val="00E53940"/>
    <w:rsid w:val="00E809E4"/>
    <w:rsid w:val="00E85AC3"/>
    <w:rsid w:val="00E9724A"/>
    <w:rsid w:val="00EA1BC9"/>
    <w:rsid w:val="00EA644F"/>
    <w:rsid w:val="00EB048A"/>
    <w:rsid w:val="00ED1FD5"/>
    <w:rsid w:val="00ED2FDA"/>
    <w:rsid w:val="00EE3178"/>
    <w:rsid w:val="00EE4D62"/>
    <w:rsid w:val="00EE50A0"/>
    <w:rsid w:val="00EF13CE"/>
    <w:rsid w:val="00F00261"/>
    <w:rsid w:val="00F01DF4"/>
    <w:rsid w:val="00F04F9A"/>
    <w:rsid w:val="00F10A03"/>
    <w:rsid w:val="00F15EF8"/>
    <w:rsid w:val="00F16252"/>
    <w:rsid w:val="00F3196D"/>
    <w:rsid w:val="00F34929"/>
    <w:rsid w:val="00F414A4"/>
    <w:rsid w:val="00F433DE"/>
    <w:rsid w:val="00F45B2D"/>
    <w:rsid w:val="00F503EB"/>
    <w:rsid w:val="00F55779"/>
    <w:rsid w:val="00F65F22"/>
    <w:rsid w:val="00F6700C"/>
    <w:rsid w:val="00F70B66"/>
    <w:rsid w:val="00F7741A"/>
    <w:rsid w:val="00F8040C"/>
    <w:rsid w:val="00F8277A"/>
    <w:rsid w:val="00F83C18"/>
    <w:rsid w:val="00F92A1F"/>
    <w:rsid w:val="00F94936"/>
    <w:rsid w:val="00FA0D30"/>
    <w:rsid w:val="00FB4776"/>
    <w:rsid w:val="00FB5F42"/>
    <w:rsid w:val="00FB6325"/>
    <w:rsid w:val="00FB7C22"/>
    <w:rsid w:val="00FB7D37"/>
    <w:rsid w:val="00FC4824"/>
    <w:rsid w:val="00FD2B1C"/>
    <w:rsid w:val="00FE3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320FBF"/>
  <w15:docId w15:val="{11387BB8-AAB2-44E3-B5F9-BEFA67DD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32"/>
    <w:rPr>
      <w:rFonts w:ascii="Arial" w:hAnsi="Arial"/>
      <w:color w:val="3F4548" w:themeColor="text1"/>
      <w:sz w:val="20"/>
    </w:rPr>
  </w:style>
  <w:style w:type="paragraph" w:styleId="Heading1">
    <w:name w:val="heading 1"/>
    <w:basedOn w:val="Normal"/>
    <w:next w:val="Normal"/>
    <w:link w:val="Heading1Char"/>
    <w:uiPriority w:val="9"/>
    <w:qFormat/>
    <w:rsid w:val="009C6C32"/>
    <w:pPr>
      <w:keepNext/>
      <w:keepLines/>
      <w:spacing w:before="240" w:after="0"/>
      <w:outlineLvl w:val="0"/>
    </w:pPr>
    <w:rPr>
      <w:rFonts w:eastAsiaTheme="majorEastAsia" w:cstheme="majorBidi"/>
      <w:color w:val="A27F10" w:themeColor="accent1" w:themeShade="BF"/>
      <w:sz w:val="32"/>
      <w:szCs w:val="32"/>
    </w:rPr>
  </w:style>
  <w:style w:type="paragraph" w:styleId="Heading2">
    <w:name w:val="heading 2"/>
    <w:basedOn w:val="Normal"/>
    <w:next w:val="Normal"/>
    <w:link w:val="Heading2Char"/>
    <w:uiPriority w:val="9"/>
    <w:unhideWhenUsed/>
    <w:qFormat/>
    <w:rsid w:val="009C6C32"/>
    <w:pPr>
      <w:keepNext/>
      <w:keepLines/>
      <w:spacing w:before="40" w:after="0"/>
      <w:outlineLvl w:val="1"/>
    </w:pPr>
    <w:rPr>
      <w:rFonts w:eastAsiaTheme="majorEastAsia" w:cstheme="majorBidi"/>
      <w:b/>
      <w:color w:val="A27F10" w:themeColor="accent1" w:themeShade="BF"/>
      <w:sz w:val="24"/>
      <w:szCs w:val="26"/>
    </w:rPr>
  </w:style>
  <w:style w:type="paragraph" w:styleId="Heading3">
    <w:name w:val="heading 3"/>
    <w:basedOn w:val="Normal"/>
    <w:next w:val="Normal"/>
    <w:link w:val="Heading3Char"/>
    <w:uiPriority w:val="9"/>
    <w:semiHidden/>
    <w:unhideWhenUsed/>
    <w:qFormat/>
    <w:rsid w:val="004D7E09"/>
    <w:pPr>
      <w:keepNext/>
      <w:keepLines/>
      <w:spacing w:before="40" w:after="0"/>
      <w:outlineLvl w:val="2"/>
    </w:pPr>
    <w:rPr>
      <w:rFonts w:asciiTheme="majorHAnsi" w:eastAsiaTheme="majorEastAsia" w:hAnsiTheme="majorHAnsi" w:cstheme="majorBidi"/>
      <w:color w:val="6C540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rsid w:val="00CA62E3"/>
    <w:pPr>
      <w:framePr w:w="3686" w:wrap="around" w:vAnchor="page" w:hAnchor="page" w:x="1135" w:y="2751" w:anchorLock="1"/>
      <w:spacing w:after="0" w:line="250" w:lineRule="exact"/>
    </w:pPr>
    <w:rPr>
      <w:sz w:val="19"/>
      <w:szCs w:val="17"/>
      <w:lang w:val="en-US"/>
    </w:rPr>
  </w:style>
  <w:style w:type="paragraph" w:customStyle="1" w:styleId="Datedetails">
    <w:name w:val="Date_details"/>
    <w:basedOn w:val="Normal"/>
    <w:rsid w:val="00CA62E3"/>
    <w:pPr>
      <w:framePr w:w="3515" w:wrap="around" w:vAnchor="page" w:hAnchor="page" w:x="7259" w:y="2751" w:anchorLock="1"/>
      <w:spacing w:after="0" w:line="250" w:lineRule="exact"/>
      <w:jc w:val="right"/>
    </w:pPr>
    <w:rPr>
      <w:sz w:val="19"/>
      <w:szCs w:val="17"/>
      <w:lang w:val="en-US"/>
    </w:rPr>
  </w:style>
  <w:style w:type="paragraph" w:styleId="ListParagraph">
    <w:name w:val="List Paragraph"/>
    <w:basedOn w:val="Normal"/>
    <w:uiPriority w:val="34"/>
    <w:qFormat/>
    <w:rsid w:val="0006274D"/>
    <w:pPr>
      <w:ind w:left="720"/>
      <w:contextualSpacing/>
    </w:pPr>
  </w:style>
  <w:style w:type="character" w:styleId="Hyperlink">
    <w:name w:val="Hyperlink"/>
    <w:basedOn w:val="DefaultParagraphFont"/>
    <w:uiPriority w:val="99"/>
    <w:unhideWhenUsed/>
    <w:rsid w:val="004802E3"/>
    <w:rPr>
      <w:color w:val="3F4548" w:themeColor="hyperlink"/>
      <w:u w:val="single"/>
    </w:rPr>
  </w:style>
  <w:style w:type="character" w:customStyle="1" w:styleId="Heading1Char">
    <w:name w:val="Heading 1 Char"/>
    <w:basedOn w:val="DefaultParagraphFont"/>
    <w:link w:val="Heading1"/>
    <w:uiPriority w:val="9"/>
    <w:rsid w:val="009C6C32"/>
    <w:rPr>
      <w:rFonts w:ascii="Arial" w:eastAsiaTheme="majorEastAsia" w:hAnsi="Arial" w:cstheme="majorBidi"/>
      <w:color w:val="A27F10" w:themeColor="accent1" w:themeShade="BF"/>
      <w:sz w:val="32"/>
      <w:szCs w:val="32"/>
    </w:rPr>
  </w:style>
  <w:style w:type="character" w:customStyle="1" w:styleId="Heading2Char">
    <w:name w:val="Heading 2 Char"/>
    <w:basedOn w:val="DefaultParagraphFont"/>
    <w:link w:val="Heading2"/>
    <w:uiPriority w:val="9"/>
    <w:rsid w:val="009C6C32"/>
    <w:rPr>
      <w:rFonts w:ascii="Arial" w:eastAsiaTheme="majorEastAsia" w:hAnsi="Arial" w:cstheme="majorBidi"/>
      <w:b/>
      <w:color w:val="A27F10" w:themeColor="accent1" w:themeShade="BF"/>
      <w:sz w:val="24"/>
      <w:szCs w:val="26"/>
    </w:rPr>
  </w:style>
  <w:style w:type="paragraph" w:styleId="Title">
    <w:name w:val="Title"/>
    <w:basedOn w:val="Normal"/>
    <w:next w:val="Normal"/>
    <w:link w:val="TitleChar"/>
    <w:autoRedefine/>
    <w:uiPriority w:val="10"/>
    <w:qFormat/>
    <w:rsid w:val="009C6C32"/>
    <w:pPr>
      <w:spacing w:after="0" w:line="240" w:lineRule="auto"/>
      <w:contextualSpacing/>
    </w:pPr>
    <w:rPr>
      <w:rFonts w:eastAsiaTheme="majorEastAsia" w:cstheme="majorBidi"/>
      <w:color w:val="002060" w:themeColor="text2"/>
      <w:spacing w:val="-10"/>
      <w:kern w:val="28"/>
      <w:sz w:val="56"/>
      <w:szCs w:val="56"/>
    </w:rPr>
  </w:style>
  <w:style w:type="character" w:customStyle="1" w:styleId="TitleChar">
    <w:name w:val="Title Char"/>
    <w:basedOn w:val="DefaultParagraphFont"/>
    <w:link w:val="Title"/>
    <w:uiPriority w:val="10"/>
    <w:rsid w:val="009C6C32"/>
    <w:rPr>
      <w:rFonts w:ascii="Arial" w:eastAsiaTheme="majorEastAsia" w:hAnsi="Arial" w:cstheme="majorBidi"/>
      <w:color w:val="002060" w:themeColor="text2"/>
      <w:spacing w:val="-10"/>
      <w:kern w:val="28"/>
      <w:sz w:val="56"/>
      <w:szCs w:val="56"/>
    </w:rPr>
  </w:style>
  <w:style w:type="paragraph" w:styleId="Subtitle">
    <w:name w:val="Subtitle"/>
    <w:basedOn w:val="Normal"/>
    <w:next w:val="Normal"/>
    <w:link w:val="SubtitleChar"/>
    <w:uiPriority w:val="11"/>
    <w:qFormat/>
    <w:rsid w:val="009C6C32"/>
    <w:pPr>
      <w:numPr>
        <w:ilvl w:val="1"/>
      </w:numPr>
      <w:spacing w:after="160"/>
    </w:pPr>
    <w:rPr>
      <w:rFonts w:eastAsiaTheme="minorEastAsia"/>
      <w:b/>
      <w:color w:val="7D888D" w:themeColor="text1" w:themeTint="A5"/>
    </w:rPr>
  </w:style>
  <w:style w:type="character" w:customStyle="1" w:styleId="SubtitleChar">
    <w:name w:val="Subtitle Char"/>
    <w:basedOn w:val="DefaultParagraphFont"/>
    <w:link w:val="Subtitle"/>
    <w:uiPriority w:val="11"/>
    <w:rsid w:val="009C6C32"/>
    <w:rPr>
      <w:rFonts w:ascii="Arial" w:eastAsiaTheme="minorEastAsia" w:hAnsi="Arial"/>
      <w:b/>
      <w:color w:val="7D888D" w:themeColor="text1" w:themeTint="A5"/>
      <w:sz w:val="20"/>
    </w:rPr>
  </w:style>
  <w:style w:type="paragraph" w:customStyle="1" w:styleId="Default">
    <w:name w:val="Default"/>
    <w:rsid w:val="003A53D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1B4D"/>
    <w:pPr>
      <w:spacing w:after="0" w:line="240" w:lineRule="auto"/>
    </w:pPr>
    <w:rPr>
      <w:rFonts w:ascii="Arial" w:hAnsi="Arial"/>
      <w:color w:val="3F4548" w:themeColor="text1"/>
      <w:sz w:val="20"/>
    </w:rPr>
  </w:style>
  <w:style w:type="paragraph" w:styleId="FootnoteText">
    <w:name w:val="footnote text"/>
    <w:basedOn w:val="Normal"/>
    <w:link w:val="FootnoteTextChar"/>
    <w:uiPriority w:val="99"/>
    <w:semiHidden/>
    <w:unhideWhenUsed/>
    <w:rsid w:val="009176F9"/>
    <w:pPr>
      <w:spacing w:after="0" w:line="240" w:lineRule="auto"/>
    </w:pPr>
    <w:rPr>
      <w:szCs w:val="20"/>
    </w:rPr>
  </w:style>
  <w:style w:type="character" w:customStyle="1" w:styleId="FootnoteTextChar">
    <w:name w:val="Footnote Text Char"/>
    <w:basedOn w:val="DefaultParagraphFont"/>
    <w:link w:val="FootnoteText"/>
    <w:uiPriority w:val="99"/>
    <w:semiHidden/>
    <w:rsid w:val="009176F9"/>
    <w:rPr>
      <w:rFonts w:ascii="Arial" w:hAnsi="Arial"/>
      <w:color w:val="3F4548" w:themeColor="text1"/>
      <w:sz w:val="20"/>
      <w:szCs w:val="20"/>
    </w:rPr>
  </w:style>
  <w:style w:type="character" w:styleId="FootnoteReference">
    <w:name w:val="footnote reference"/>
    <w:basedOn w:val="DefaultParagraphFont"/>
    <w:uiPriority w:val="99"/>
    <w:semiHidden/>
    <w:unhideWhenUsed/>
    <w:rsid w:val="009176F9"/>
    <w:rPr>
      <w:vertAlign w:val="superscript"/>
    </w:rPr>
  </w:style>
  <w:style w:type="paragraph" w:styleId="NormalWeb">
    <w:name w:val="Normal (Web)"/>
    <w:basedOn w:val="Normal"/>
    <w:uiPriority w:val="99"/>
    <w:semiHidden/>
    <w:unhideWhenUsed/>
    <w:rsid w:val="002F364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47407"/>
    <w:rPr>
      <w:sz w:val="16"/>
      <w:szCs w:val="16"/>
    </w:rPr>
  </w:style>
  <w:style w:type="paragraph" w:styleId="CommentText">
    <w:name w:val="annotation text"/>
    <w:basedOn w:val="Normal"/>
    <w:link w:val="CommentTextChar"/>
    <w:uiPriority w:val="99"/>
    <w:semiHidden/>
    <w:unhideWhenUsed/>
    <w:rsid w:val="00A47407"/>
    <w:pPr>
      <w:spacing w:line="240" w:lineRule="auto"/>
    </w:pPr>
    <w:rPr>
      <w:szCs w:val="20"/>
    </w:rPr>
  </w:style>
  <w:style w:type="character" w:customStyle="1" w:styleId="CommentTextChar">
    <w:name w:val="Comment Text Char"/>
    <w:basedOn w:val="DefaultParagraphFont"/>
    <w:link w:val="CommentText"/>
    <w:uiPriority w:val="99"/>
    <w:semiHidden/>
    <w:rsid w:val="00A47407"/>
    <w:rPr>
      <w:rFonts w:ascii="Arial" w:hAnsi="Arial"/>
      <w:color w:val="3F4548" w:themeColor="text1"/>
      <w:sz w:val="20"/>
      <w:szCs w:val="20"/>
    </w:rPr>
  </w:style>
  <w:style w:type="paragraph" w:styleId="CommentSubject">
    <w:name w:val="annotation subject"/>
    <w:basedOn w:val="CommentText"/>
    <w:next w:val="CommentText"/>
    <w:link w:val="CommentSubjectChar"/>
    <w:uiPriority w:val="99"/>
    <w:semiHidden/>
    <w:unhideWhenUsed/>
    <w:rsid w:val="00A47407"/>
    <w:rPr>
      <w:b/>
      <w:bCs/>
    </w:rPr>
  </w:style>
  <w:style w:type="character" w:customStyle="1" w:styleId="CommentSubjectChar">
    <w:name w:val="Comment Subject Char"/>
    <w:basedOn w:val="CommentTextChar"/>
    <w:link w:val="CommentSubject"/>
    <w:uiPriority w:val="99"/>
    <w:semiHidden/>
    <w:rsid w:val="00A47407"/>
    <w:rPr>
      <w:rFonts w:ascii="Arial" w:hAnsi="Arial"/>
      <w:b/>
      <w:bCs/>
      <w:color w:val="3F4548" w:themeColor="text1"/>
      <w:sz w:val="20"/>
      <w:szCs w:val="20"/>
    </w:rPr>
  </w:style>
  <w:style w:type="character" w:styleId="FollowedHyperlink">
    <w:name w:val="FollowedHyperlink"/>
    <w:basedOn w:val="DefaultParagraphFont"/>
    <w:uiPriority w:val="99"/>
    <w:semiHidden/>
    <w:unhideWhenUsed/>
    <w:rsid w:val="00783C5A"/>
    <w:rPr>
      <w:color w:val="3F4548" w:themeColor="followedHyperlink"/>
      <w:u w:val="single"/>
    </w:rPr>
  </w:style>
  <w:style w:type="character" w:customStyle="1" w:styleId="Heading3Char">
    <w:name w:val="Heading 3 Char"/>
    <w:basedOn w:val="DefaultParagraphFont"/>
    <w:link w:val="Heading3"/>
    <w:uiPriority w:val="9"/>
    <w:semiHidden/>
    <w:rsid w:val="004D7E09"/>
    <w:rPr>
      <w:rFonts w:asciiTheme="majorHAnsi" w:eastAsiaTheme="majorEastAsia" w:hAnsiTheme="majorHAnsi" w:cstheme="majorBidi"/>
      <w:color w:val="6C540B" w:themeColor="accent1" w:themeShade="7F"/>
      <w:sz w:val="24"/>
      <w:szCs w:val="24"/>
    </w:rPr>
  </w:style>
  <w:style w:type="character" w:customStyle="1" w:styleId="normaltextrun">
    <w:name w:val="normaltextrun"/>
    <w:basedOn w:val="DefaultParagraphFont"/>
    <w:rsid w:val="0035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4937">
      <w:bodyDiv w:val="1"/>
      <w:marLeft w:val="0"/>
      <w:marRight w:val="0"/>
      <w:marTop w:val="0"/>
      <w:marBottom w:val="0"/>
      <w:divBdr>
        <w:top w:val="none" w:sz="0" w:space="0" w:color="auto"/>
        <w:left w:val="none" w:sz="0" w:space="0" w:color="auto"/>
        <w:bottom w:val="none" w:sz="0" w:space="0" w:color="auto"/>
        <w:right w:val="none" w:sz="0" w:space="0" w:color="auto"/>
      </w:divBdr>
    </w:div>
    <w:div w:id="485978263">
      <w:bodyDiv w:val="1"/>
      <w:marLeft w:val="0"/>
      <w:marRight w:val="0"/>
      <w:marTop w:val="0"/>
      <w:marBottom w:val="0"/>
      <w:divBdr>
        <w:top w:val="none" w:sz="0" w:space="0" w:color="auto"/>
        <w:left w:val="none" w:sz="0" w:space="0" w:color="auto"/>
        <w:bottom w:val="none" w:sz="0" w:space="0" w:color="auto"/>
        <w:right w:val="none" w:sz="0" w:space="0" w:color="auto"/>
      </w:divBdr>
    </w:div>
    <w:div w:id="556163137">
      <w:bodyDiv w:val="1"/>
      <w:marLeft w:val="0"/>
      <w:marRight w:val="0"/>
      <w:marTop w:val="0"/>
      <w:marBottom w:val="0"/>
      <w:divBdr>
        <w:top w:val="none" w:sz="0" w:space="0" w:color="auto"/>
        <w:left w:val="none" w:sz="0" w:space="0" w:color="auto"/>
        <w:bottom w:val="none" w:sz="0" w:space="0" w:color="auto"/>
        <w:right w:val="none" w:sz="0" w:space="0" w:color="auto"/>
      </w:divBdr>
    </w:div>
    <w:div w:id="569537584">
      <w:bodyDiv w:val="1"/>
      <w:marLeft w:val="0"/>
      <w:marRight w:val="0"/>
      <w:marTop w:val="0"/>
      <w:marBottom w:val="0"/>
      <w:divBdr>
        <w:top w:val="none" w:sz="0" w:space="0" w:color="auto"/>
        <w:left w:val="none" w:sz="0" w:space="0" w:color="auto"/>
        <w:bottom w:val="none" w:sz="0" w:space="0" w:color="auto"/>
        <w:right w:val="none" w:sz="0" w:space="0" w:color="auto"/>
      </w:divBdr>
    </w:div>
    <w:div w:id="579370644">
      <w:bodyDiv w:val="1"/>
      <w:marLeft w:val="0"/>
      <w:marRight w:val="0"/>
      <w:marTop w:val="0"/>
      <w:marBottom w:val="0"/>
      <w:divBdr>
        <w:top w:val="none" w:sz="0" w:space="0" w:color="auto"/>
        <w:left w:val="none" w:sz="0" w:space="0" w:color="auto"/>
        <w:bottom w:val="none" w:sz="0" w:space="0" w:color="auto"/>
        <w:right w:val="none" w:sz="0" w:space="0" w:color="auto"/>
      </w:divBdr>
    </w:div>
    <w:div w:id="617764032">
      <w:bodyDiv w:val="1"/>
      <w:marLeft w:val="0"/>
      <w:marRight w:val="0"/>
      <w:marTop w:val="0"/>
      <w:marBottom w:val="0"/>
      <w:divBdr>
        <w:top w:val="none" w:sz="0" w:space="0" w:color="auto"/>
        <w:left w:val="none" w:sz="0" w:space="0" w:color="auto"/>
        <w:bottom w:val="none" w:sz="0" w:space="0" w:color="auto"/>
        <w:right w:val="none" w:sz="0" w:space="0" w:color="auto"/>
      </w:divBdr>
    </w:div>
    <w:div w:id="752896281">
      <w:bodyDiv w:val="1"/>
      <w:marLeft w:val="0"/>
      <w:marRight w:val="0"/>
      <w:marTop w:val="0"/>
      <w:marBottom w:val="0"/>
      <w:divBdr>
        <w:top w:val="none" w:sz="0" w:space="0" w:color="auto"/>
        <w:left w:val="none" w:sz="0" w:space="0" w:color="auto"/>
        <w:bottom w:val="none" w:sz="0" w:space="0" w:color="auto"/>
        <w:right w:val="none" w:sz="0" w:space="0" w:color="auto"/>
      </w:divBdr>
    </w:div>
    <w:div w:id="779765367">
      <w:bodyDiv w:val="1"/>
      <w:marLeft w:val="0"/>
      <w:marRight w:val="0"/>
      <w:marTop w:val="0"/>
      <w:marBottom w:val="0"/>
      <w:divBdr>
        <w:top w:val="none" w:sz="0" w:space="0" w:color="auto"/>
        <w:left w:val="none" w:sz="0" w:space="0" w:color="auto"/>
        <w:bottom w:val="none" w:sz="0" w:space="0" w:color="auto"/>
        <w:right w:val="none" w:sz="0" w:space="0" w:color="auto"/>
      </w:divBdr>
    </w:div>
    <w:div w:id="943422517">
      <w:bodyDiv w:val="1"/>
      <w:marLeft w:val="0"/>
      <w:marRight w:val="0"/>
      <w:marTop w:val="0"/>
      <w:marBottom w:val="0"/>
      <w:divBdr>
        <w:top w:val="none" w:sz="0" w:space="0" w:color="auto"/>
        <w:left w:val="none" w:sz="0" w:space="0" w:color="auto"/>
        <w:bottom w:val="none" w:sz="0" w:space="0" w:color="auto"/>
        <w:right w:val="none" w:sz="0" w:space="0" w:color="auto"/>
      </w:divBdr>
    </w:div>
    <w:div w:id="1084257706">
      <w:bodyDiv w:val="1"/>
      <w:marLeft w:val="0"/>
      <w:marRight w:val="0"/>
      <w:marTop w:val="0"/>
      <w:marBottom w:val="0"/>
      <w:divBdr>
        <w:top w:val="none" w:sz="0" w:space="0" w:color="auto"/>
        <w:left w:val="none" w:sz="0" w:space="0" w:color="auto"/>
        <w:bottom w:val="none" w:sz="0" w:space="0" w:color="auto"/>
        <w:right w:val="none" w:sz="0" w:space="0" w:color="auto"/>
      </w:divBdr>
    </w:div>
    <w:div w:id="1117722033">
      <w:bodyDiv w:val="1"/>
      <w:marLeft w:val="0"/>
      <w:marRight w:val="0"/>
      <w:marTop w:val="0"/>
      <w:marBottom w:val="0"/>
      <w:divBdr>
        <w:top w:val="none" w:sz="0" w:space="0" w:color="auto"/>
        <w:left w:val="none" w:sz="0" w:space="0" w:color="auto"/>
        <w:bottom w:val="none" w:sz="0" w:space="0" w:color="auto"/>
        <w:right w:val="none" w:sz="0" w:space="0" w:color="auto"/>
      </w:divBdr>
    </w:div>
    <w:div w:id="1129543744">
      <w:bodyDiv w:val="1"/>
      <w:marLeft w:val="0"/>
      <w:marRight w:val="0"/>
      <w:marTop w:val="0"/>
      <w:marBottom w:val="0"/>
      <w:divBdr>
        <w:top w:val="none" w:sz="0" w:space="0" w:color="auto"/>
        <w:left w:val="none" w:sz="0" w:space="0" w:color="auto"/>
        <w:bottom w:val="none" w:sz="0" w:space="0" w:color="auto"/>
        <w:right w:val="none" w:sz="0" w:space="0" w:color="auto"/>
      </w:divBdr>
    </w:div>
    <w:div w:id="1413161342">
      <w:bodyDiv w:val="1"/>
      <w:marLeft w:val="0"/>
      <w:marRight w:val="0"/>
      <w:marTop w:val="0"/>
      <w:marBottom w:val="0"/>
      <w:divBdr>
        <w:top w:val="none" w:sz="0" w:space="0" w:color="auto"/>
        <w:left w:val="none" w:sz="0" w:space="0" w:color="auto"/>
        <w:bottom w:val="none" w:sz="0" w:space="0" w:color="auto"/>
        <w:right w:val="none" w:sz="0" w:space="0" w:color="auto"/>
      </w:divBdr>
    </w:div>
    <w:div w:id="1565604434">
      <w:bodyDiv w:val="1"/>
      <w:marLeft w:val="0"/>
      <w:marRight w:val="0"/>
      <w:marTop w:val="0"/>
      <w:marBottom w:val="0"/>
      <w:divBdr>
        <w:top w:val="none" w:sz="0" w:space="0" w:color="auto"/>
        <w:left w:val="none" w:sz="0" w:space="0" w:color="auto"/>
        <w:bottom w:val="none" w:sz="0" w:space="0" w:color="auto"/>
        <w:right w:val="none" w:sz="0" w:space="0" w:color="auto"/>
      </w:divBdr>
    </w:div>
    <w:div w:id="1638994334">
      <w:bodyDiv w:val="1"/>
      <w:marLeft w:val="0"/>
      <w:marRight w:val="0"/>
      <w:marTop w:val="0"/>
      <w:marBottom w:val="0"/>
      <w:divBdr>
        <w:top w:val="none" w:sz="0" w:space="0" w:color="auto"/>
        <w:left w:val="none" w:sz="0" w:space="0" w:color="auto"/>
        <w:bottom w:val="none" w:sz="0" w:space="0" w:color="auto"/>
        <w:right w:val="none" w:sz="0" w:space="0" w:color="auto"/>
      </w:divBdr>
    </w:div>
    <w:div w:id="1694576656">
      <w:bodyDiv w:val="1"/>
      <w:marLeft w:val="0"/>
      <w:marRight w:val="0"/>
      <w:marTop w:val="0"/>
      <w:marBottom w:val="0"/>
      <w:divBdr>
        <w:top w:val="none" w:sz="0" w:space="0" w:color="auto"/>
        <w:left w:val="none" w:sz="0" w:space="0" w:color="auto"/>
        <w:bottom w:val="none" w:sz="0" w:space="0" w:color="auto"/>
        <w:right w:val="none" w:sz="0" w:space="0" w:color="auto"/>
      </w:divBdr>
    </w:div>
    <w:div w:id="1768040868">
      <w:bodyDiv w:val="1"/>
      <w:marLeft w:val="0"/>
      <w:marRight w:val="0"/>
      <w:marTop w:val="0"/>
      <w:marBottom w:val="0"/>
      <w:divBdr>
        <w:top w:val="none" w:sz="0" w:space="0" w:color="auto"/>
        <w:left w:val="none" w:sz="0" w:space="0" w:color="auto"/>
        <w:bottom w:val="none" w:sz="0" w:space="0" w:color="auto"/>
        <w:right w:val="none" w:sz="0" w:space="0" w:color="auto"/>
      </w:divBdr>
    </w:div>
    <w:div w:id="1850680872">
      <w:bodyDiv w:val="1"/>
      <w:marLeft w:val="0"/>
      <w:marRight w:val="0"/>
      <w:marTop w:val="0"/>
      <w:marBottom w:val="0"/>
      <w:divBdr>
        <w:top w:val="none" w:sz="0" w:space="0" w:color="auto"/>
        <w:left w:val="none" w:sz="0" w:space="0" w:color="auto"/>
        <w:bottom w:val="none" w:sz="0" w:space="0" w:color="auto"/>
        <w:right w:val="none" w:sz="0" w:space="0" w:color="auto"/>
      </w:divBdr>
    </w:div>
    <w:div w:id="1932658931">
      <w:bodyDiv w:val="1"/>
      <w:marLeft w:val="0"/>
      <w:marRight w:val="0"/>
      <w:marTop w:val="0"/>
      <w:marBottom w:val="0"/>
      <w:divBdr>
        <w:top w:val="none" w:sz="0" w:space="0" w:color="auto"/>
        <w:left w:val="none" w:sz="0" w:space="0" w:color="auto"/>
        <w:bottom w:val="none" w:sz="0" w:space="0" w:color="auto"/>
        <w:right w:val="none" w:sz="0" w:space="0" w:color="auto"/>
      </w:divBdr>
    </w:div>
    <w:div w:id="2000621091">
      <w:bodyDiv w:val="1"/>
      <w:marLeft w:val="0"/>
      <w:marRight w:val="0"/>
      <w:marTop w:val="0"/>
      <w:marBottom w:val="0"/>
      <w:divBdr>
        <w:top w:val="none" w:sz="0" w:space="0" w:color="auto"/>
        <w:left w:val="none" w:sz="0" w:space="0" w:color="auto"/>
        <w:bottom w:val="none" w:sz="0" w:space="0" w:color="auto"/>
        <w:right w:val="none" w:sz="0" w:space="0" w:color="auto"/>
      </w:divBdr>
    </w:div>
    <w:div w:id="20994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olan.ward@actuarie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ifoa generic 01">
      <a:dk1>
        <a:srgbClr val="3F4548"/>
      </a:dk1>
      <a:lt1>
        <a:sysClr val="window" lastClr="FFFFFF"/>
      </a:lt1>
      <a:dk2>
        <a:srgbClr val="002060"/>
      </a:dk2>
      <a:lt2>
        <a:srgbClr val="FFFFFF"/>
      </a:lt2>
      <a:accent1>
        <a:srgbClr val="D9AB16"/>
      </a:accent1>
      <a:accent2>
        <a:srgbClr val="113458"/>
      </a:accent2>
      <a:accent3>
        <a:srgbClr val="4096B8"/>
      </a:accent3>
      <a:accent4>
        <a:srgbClr val="8076CF"/>
      </a:accent4>
      <a:accent5>
        <a:srgbClr val="11B3A2"/>
      </a:accent5>
      <a:accent6>
        <a:srgbClr val="7CB3E1"/>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15857BABB41F43BFD453595E8BF29B" ma:contentTypeVersion="14" ma:contentTypeDescription="Create a new document." ma:contentTypeScope="" ma:versionID="ee6f931dd5d25dd196969af090daa183">
  <xsd:schema xmlns:xsd="http://www.w3.org/2001/XMLSchema" xmlns:xs="http://www.w3.org/2001/XMLSchema" xmlns:p="http://schemas.microsoft.com/office/2006/metadata/properties" xmlns:ns3="8ce46e1c-e67a-4919-8f22-e62e5743ae36" xmlns:ns4="e9d605bc-fe42-4470-a8ac-47f08384d032" targetNamespace="http://schemas.microsoft.com/office/2006/metadata/properties" ma:root="true" ma:fieldsID="2d545e22ba2ae524bd83feb1bbc57d6b" ns3:_="" ns4:_="">
    <xsd:import namespace="8ce46e1c-e67a-4919-8f22-e62e5743ae36"/>
    <xsd:import namespace="e9d605bc-fe42-4470-a8ac-47f08384d0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6e1c-e67a-4919-8f22-e62e5743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605bc-fe42-4470-a8ac-47f08384d0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06EDA-9DEF-4D02-A2E8-5948471E5820}">
  <ds:schemaRefs>
    <ds:schemaRef ds:uri="http://schemas.microsoft.com/sharepoint/v3/contenttype/forms"/>
  </ds:schemaRefs>
</ds:datastoreItem>
</file>

<file path=customXml/itemProps2.xml><?xml version="1.0" encoding="utf-8"?>
<ds:datastoreItem xmlns:ds="http://schemas.openxmlformats.org/officeDocument/2006/customXml" ds:itemID="{74EC364B-592E-4B1A-87EE-58196E0B967D}">
  <ds:schemaRefs>
    <ds:schemaRef ds:uri="http://schemas.microsoft.com/office/2006/metadata/properties"/>
    <ds:schemaRef ds:uri="http://purl.org/dc/terms/"/>
    <ds:schemaRef ds:uri="http://schemas.openxmlformats.org/package/2006/metadata/core-properties"/>
    <ds:schemaRef ds:uri="e9d605bc-fe42-4470-a8ac-47f08384d032"/>
    <ds:schemaRef ds:uri="http://schemas.microsoft.com/office/2006/documentManagement/types"/>
    <ds:schemaRef ds:uri="http://schemas.microsoft.com/office/infopath/2007/PartnerControls"/>
    <ds:schemaRef ds:uri="8ce46e1c-e67a-4919-8f22-e62e5743ae36"/>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BAFDC93-9115-4E27-BB25-2CD3C53179BC}">
  <ds:schemaRefs>
    <ds:schemaRef ds:uri="http://schemas.openxmlformats.org/officeDocument/2006/bibliography"/>
  </ds:schemaRefs>
</ds:datastoreItem>
</file>

<file path=customXml/itemProps4.xml><?xml version="1.0" encoding="utf-8"?>
<ds:datastoreItem xmlns:ds="http://schemas.openxmlformats.org/officeDocument/2006/customXml" ds:itemID="{30A8D587-3BDD-4145-8023-4D2FCA24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6e1c-e67a-4919-8f22-e62e5743ae36"/>
    <ds:schemaRef ds:uri="e9d605bc-fe42-4470-a8ac-47f08384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2668</Words>
  <Characters>15213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Caolan Ward</dc:creator>
  <cp:lastModifiedBy>Matthew Humphreys</cp:lastModifiedBy>
  <cp:revision>2</cp:revision>
  <cp:lastPrinted>2012-12-17T18:03:00Z</cp:lastPrinted>
  <dcterms:created xsi:type="dcterms:W3CDTF">2022-05-31T14:31:00Z</dcterms:created>
  <dcterms:modified xsi:type="dcterms:W3CDTF">2022-05-31T14:31:00Z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0x010100D115857BABB41F43BFD453595E8BF29B</vt:lpwstr>
  </property>
  <property fmtid="{D5CDD505-2E9C-101B-9397-08002B2CF9AE}" pid="3" name="MSIP_Label_38f1469a-2c2a-4aee-b92b-090d4c5468ff_Enabled">
    <vt:lpwstr>true</vt:lpwstr>
  </property>
  <property fmtid="{D5CDD505-2E9C-101B-9397-08002B2CF9AE}" pid="4" name="MSIP_Label_38f1469a-2c2a-4aee-b92b-090d4c5468ff_SetDate">
    <vt:lpwstr>2022-01-27T09:50:05Z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7b40e636-265d-46f5-9574-30a7926ef6aa</vt:lpwstr>
  </property>
  <property fmtid="{D5CDD505-2E9C-101B-9397-08002B2CF9AE}" pid="9" name="MSIP_Label_38f1469a-2c2a-4aee-b92b-090d4c5468ff_ContentBits">
    <vt:lpwstr>0</vt:lpwstr>
  </property>
  <property fmtid="{D5CDD505-2E9C-101B-9397-08002B2CF9AE}" pid="10" name="_NewReviewCycle">
    <vt:lpwstr/>
  </property>
  <property fmtid="{D5CDD505-2E9C-101B-9397-08002B2CF9AE}" pid="11" name="MSIP_Label_d347b247-e90e-43a3-9d7b-004f14ae6873_Enabled">
    <vt:lpwstr>true</vt:lpwstr>
  </property>
  <property fmtid="{D5CDD505-2E9C-101B-9397-08002B2CF9AE}" pid="12" name="MSIP_Label_d347b247-e90e-43a3-9d7b-004f14ae6873_SetDate">
    <vt:lpwstr>2022-01-28T10:34:39Z</vt:lpwstr>
  </property>
  <property fmtid="{D5CDD505-2E9C-101B-9397-08002B2CF9AE}" pid="13" name="MSIP_Label_d347b247-e90e-43a3-9d7b-004f14ae6873_Method">
    <vt:lpwstr>Standard</vt:lpwstr>
  </property>
  <property fmtid="{D5CDD505-2E9C-101B-9397-08002B2CF9AE}" pid="14" name="MSIP_Label_d347b247-e90e-43a3-9d7b-004f14ae6873_Name">
    <vt:lpwstr>d347b247-e90e-43a3-9d7b-004f14ae6873</vt:lpwstr>
  </property>
  <property fmtid="{D5CDD505-2E9C-101B-9397-08002B2CF9AE}" pid="15" name="MSIP_Label_d347b247-e90e-43a3-9d7b-004f14ae6873_SiteId">
    <vt:lpwstr>76e3921f-489b-4b7e-9547-9ea297add9b5</vt:lpwstr>
  </property>
  <property fmtid="{D5CDD505-2E9C-101B-9397-08002B2CF9AE}" pid="16" name="MSIP_Label_d347b247-e90e-43a3-9d7b-004f14ae6873_ActionId">
    <vt:lpwstr>378b96e7-18a4-44bb-a4ac-2ee4a57517a5</vt:lpwstr>
  </property>
  <property fmtid="{D5CDD505-2E9C-101B-9397-08002B2CF9AE}" pid="17" name="MSIP_Label_d347b247-e90e-43a3-9d7b-004f14ae6873_ContentBits">
    <vt:lpwstr>0</vt:lpwstr>
  </property>
  <property fmtid="{D5CDD505-2E9C-101B-9397-08002B2CF9AE}" pid="18" name="MPR_PEERREVIEW">
    <vt:lpwstr>Peer Review Identifier</vt:lpwstr>
  </property>
</Properties>
</file>