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19733" w14:textId="77777777" w:rsidR="00A95593" w:rsidRDefault="00B573F1">
      <w:pPr>
        <w:pStyle w:val="BodyText"/>
        <w:widowControl w:val="0"/>
        <w:spacing w:before="20" w:after="0"/>
        <w:ind w:left="127" w:right="463" w:firstLine="593"/>
        <w:jc w:val="center"/>
        <w:rPr>
          <w:rFonts w:cs="Times New Roman"/>
          <w:b/>
          <w:bCs/>
          <w:sz w:val="40"/>
          <w:szCs w:val="40"/>
          <w:lang w:eastAsia="en-GB"/>
        </w:rPr>
      </w:pPr>
      <w:r>
        <w:rPr>
          <w:rFonts w:cs="Times New Roman"/>
          <w:b/>
          <w:bCs/>
          <w:sz w:val="40"/>
          <w:szCs w:val="40"/>
          <w:lang w:eastAsia="en-GB"/>
        </w:rPr>
        <w:t>INSTITUTE AND FACULTY OF ACTUARIES</w:t>
      </w:r>
    </w:p>
    <w:p w14:paraId="23A24969" w14:textId="77777777" w:rsidR="00A95593" w:rsidRDefault="00A95593">
      <w:pPr>
        <w:pStyle w:val="BodyText"/>
        <w:widowControl w:val="0"/>
        <w:spacing w:after="0"/>
        <w:jc w:val="center"/>
        <w:rPr>
          <w:rFonts w:cs="Times New Roman"/>
          <w:b/>
          <w:bCs/>
          <w:sz w:val="40"/>
          <w:szCs w:val="40"/>
          <w:lang w:eastAsia="en-GB"/>
        </w:rPr>
      </w:pPr>
    </w:p>
    <w:p w14:paraId="23E6F85E" w14:textId="77777777" w:rsidR="00A95593" w:rsidRDefault="00A95593">
      <w:pPr>
        <w:pStyle w:val="BodyText"/>
        <w:widowControl w:val="0"/>
        <w:spacing w:after="0"/>
        <w:jc w:val="center"/>
        <w:rPr>
          <w:rFonts w:cs="Times New Roman"/>
          <w:b/>
          <w:bCs/>
          <w:sz w:val="40"/>
          <w:szCs w:val="40"/>
          <w:lang w:eastAsia="en-GB"/>
        </w:rPr>
      </w:pPr>
    </w:p>
    <w:p w14:paraId="6ED302F7" w14:textId="77777777" w:rsidR="00A95593" w:rsidRDefault="00B573F1">
      <w:pPr>
        <w:pStyle w:val="BodyText"/>
        <w:widowControl w:val="0"/>
        <w:spacing w:after="0"/>
        <w:jc w:val="center"/>
        <w:rPr>
          <w:rFonts w:cs="Times New Roman"/>
          <w:b/>
          <w:bCs/>
          <w:sz w:val="40"/>
          <w:szCs w:val="40"/>
          <w:lang w:eastAsia="en-GB"/>
        </w:rPr>
      </w:pPr>
      <w:r>
        <w:rPr>
          <w:rFonts w:cs="Times New Roman"/>
          <w:b/>
          <w:bCs/>
          <w:sz w:val="40"/>
          <w:szCs w:val="40"/>
          <w:lang w:eastAsia="en-GB"/>
        </w:rPr>
        <w:t>EXAMINATION</w:t>
      </w:r>
    </w:p>
    <w:p w14:paraId="3025AF40" w14:textId="77777777" w:rsidR="00A95593" w:rsidRDefault="00B573F1">
      <w:pPr>
        <w:pStyle w:val="BodyText"/>
        <w:spacing w:before="309" w:line="940" w:lineRule="atLeast"/>
        <w:ind w:left="3192" w:right="2009" w:firstLine="636"/>
        <w:rPr>
          <w:rFonts w:cs="Times New Roman"/>
          <w:bCs/>
          <w:sz w:val="32"/>
          <w:szCs w:val="32"/>
        </w:rPr>
      </w:pPr>
      <w:r>
        <w:rPr>
          <w:rFonts w:cs="Times New Roman"/>
          <w:bCs/>
          <w:sz w:val="32"/>
          <w:szCs w:val="32"/>
        </w:rPr>
        <w:t>September 2022</w:t>
      </w:r>
    </w:p>
    <w:p w14:paraId="30C0E4EC" w14:textId="77777777" w:rsidR="00A95593" w:rsidRDefault="00A95593">
      <w:pPr>
        <w:rPr>
          <w:rFonts w:ascii="Times New Roman" w:hAnsi="Times New Roman" w:cs="Times New Roman"/>
        </w:rPr>
      </w:pPr>
    </w:p>
    <w:p w14:paraId="731AEDD3" w14:textId="77777777" w:rsidR="00A95593" w:rsidRDefault="00B573F1">
      <w:pPr>
        <w:pStyle w:val="Heading2"/>
        <w:keepNext w:val="0"/>
        <w:widowControl w:val="0"/>
        <w:spacing w:before="0" w:line="384" w:lineRule="exact"/>
        <w:ind w:left="727" w:right="1132"/>
        <w:jc w:val="center"/>
        <w:rPr>
          <w:rFonts w:ascii="Times New Roman" w:eastAsia="Calibri" w:hAnsi="Times New Roman" w:cs="Times New Roman"/>
          <w:i/>
          <w:iCs/>
          <w:color w:val="201D1E"/>
          <w:sz w:val="36"/>
          <w:szCs w:val="36"/>
          <w:lang w:val="en-US"/>
        </w:rPr>
      </w:pPr>
      <w:r>
        <w:rPr>
          <w:rFonts w:ascii="Times New Roman" w:eastAsia="Calibri" w:hAnsi="Times New Roman" w:cs="Times New Roman"/>
          <w:color w:val="201D1E"/>
          <w:sz w:val="36"/>
          <w:szCs w:val="36"/>
          <w:lang w:val="en-US"/>
        </w:rPr>
        <w:t xml:space="preserve">Subject CP2 </w:t>
      </w:r>
      <w:r>
        <w:rPr>
          <w:rFonts w:ascii="Times New Roman" w:eastAsia="Calibri" w:hAnsi="Times New Roman" w:cs="Times New Roman"/>
          <w:color w:val="201D1E"/>
          <w:sz w:val="36"/>
          <w:szCs w:val="36"/>
          <w:lang w:val="en-US"/>
        </w:rPr>
        <w:noBreakHyphen/>
        <w:t xml:space="preserve"> Modelling Practice</w:t>
      </w:r>
    </w:p>
    <w:p w14:paraId="6B22AB6A" w14:textId="77777777" w:rsidR="00A95593" w:rsidRDefault="00B573F1">
      <w:pPr>
        <w:pStyle w:val="Heading2"/>
        <w:keepNext w:val="0"/>
        <w:widowControl w:val="0"/>
        <w:spacing w:before="0" w:line="384" w:lineRule="exact"/>
        <w:ind w:left="1436" w:right="1132" w:firstLine="691"/>
        <w:jc w:val="center"/>
        <w:rPr>
          <w:rFonts w:ascii="Times New Roman" w:eastAsia="Calibri" w:hAnsi="Times New Roman" w:cs="Times New Roman"/>
          <w:i/>
          <w:iCs/>
          <w:color w:val="201D1E"/>
          <w:sz w:val="36"/>
          <w:szCs w:val="36"/>
          <w:lang w:val="en-US"/>
        </w:rPr>
      </w:pPr>
      <w:r>
        <w:rPr>
          <w:rFonts w:ascii="Times New Roman" w:eastAsia="Calibri" w:hAnsi="Times New Roman" w:cs="Times New Roman"/>
          <w:color w:val="201D1E"/>
          <w:sz w:val="36"/>
          <w:szCs w:val="36"/>
          <w:lang w:val="en-US"/>
        </w:rPr>
        <w:t>Core Practices</w:t>
      </w:r>
    </w:p>
    <w:p w14:paraId="2C16F3C6" w14:textId="77777777" w:rsidR="00A95593" w:rsidRDefault="00A95593">
      <w:pPr>
        <w:pStyle w:val="Heading2"/>
        <w:keepNext w:val="0"/>
        <w:widowControl w:val="0"/>
        <w:spacing w:before="0" w:line="384" w:lineRule="exact"/>
        <w:ind w:left="727" w:right="1132"/>
        <w:jc w:val="center"/>
        <w:rPr>
          <w:rFonts w:ascii="Times New Roman" w:eastAsia="Calibri" w:hAnsi="Times New Roman" w:cs="Times New Roman"/>
          <w:i/>
          <w:iCs/>
          <w:color w:val="201D1E"/>
          <w:sz w:val="36"/>
          <w:szCs w:val="36"/>
          <w:lang w:val="en-US"/>
        </w:rPr>
      </w:pPr>
    </w:p>
    <w:p w14:paraId="0792CCEC" w14:textId="77777777" w:rsidR="00A95593" w:rsidRDefault="00B573F1">
      <w:pPr>
        <w:pStyle w:val="Heading2"/>
        <w:keepNext w:val="0"/>
        <w:widowControl w:val="0"/>
        <w:spacing w:before="0" w:line="384" w:lineRule="exact"/>
        <w:ind w:left="727" w:right="1132" w:firstLine="691"/>
        <w:jc w:val="center"/>
        <w:rPr>
          <w:rFonts w:ascii="Times New Roman" w:eastAsia="Calibri" w:hAnsi="Times New Roman" w:cs="Times New Roman"/>
          <w:i/>
          <w:iCs/>
          <w:color w:val="201D1E"/>
          <w:sz w:val="36"/>
          <w:szCs w:val="36"/>
          <w:lang w:val="en-US"/>
        </w:rPr>
      </w:pPr>
      <w:r>
        <w:rPr>
          <w:rFonts w:ascii="Times New Roman" w:eastAsia="Calibri" w:hAnsi="Times New Roman" w:cs="Times New Roman"/>
          <w:color w:val="201D1E"/>
          <w:sz w:val="36"/>
          <w:szCs w:val="36"/>
          <w:lang w:val="en-US"/>
        </w:rPr>
        <w:t>Paper 2</w:t>
      </w:r>
    </w:p>
    <w:p w14:paraId="25CC32FB" w14:textId="77777777" w:rsidR="00A95593" w:rsidRDefault="00A95593">
      <w:pPr>
        <w:pStyle w:val="BodyText"/>
        <w:jc w:val="center"/>
        <w:rPr>
          <w:rFonts w:cs="Times New Roman"/>
          <w:sz w:val="20"/>
        </w:rPr>
      </w:pPr>
    </w:p>
    <w:p w14:paraId="25CC9855" w14:textId="77777777" w:rsidR="00A95593" w:rsidRDefault="00A95593">
      <w:pPr>
        <w:pStyle w:val="BodyText"/>
        <w:jc w:val="center"/>
        <w:rPr>
          <w:rFonts w:cs="Times New Roman"/>
          <w:sz w:val="20"/>
        </w:rPr>
      </w:pPr>
    </w:p>
    <w:p w14:paraId="34FCC3DB" w14:textId="77777777" w:rsidR="00A95593" w:rsidRDefault="00B573F1">
      <w:pPr>
        <w:pStyle w:val="BodyText"/>
        <w:widowControl w:val="0"/>
        <w:spacing w:after="0"/>
        <w:ind w:left="127" w:right="-1"/>
        <w:jc w:val="center"/>
        <w:rPr>
          <w:rFonts w:cs="Times New Roman"/>
          <w:b/>
          <w:bCs/>
          <w:sz w:val="40"/>
          <w:szCs w:val="40"/>
          <w:lang w:eastAsia="en-GB"/>
        </w:rPr>
      </w:pPr>
      <w:r>
        <w:rPr>
          <w:rFonts w:cs="Times New Roman"/>
          <w:b/>
          <w:bCs/>
          <w:sz w:val="40"/>
          <w:szCs w:val="40"/>
          <w:lang w:eastAsia="en-GB"/>
        </w:rPr>
        <w:t>SUMMARY</w:t>
      </w:r>
    </w:p>
    <w:p w14:paraId="5FF26D44" w14:textId="77777777" w:rsidR="00A95593" w:rsidRDefault="00A95593">
      <w:pPr>
        <w:pStyle w:val="BodyText"/>
        <w:jc w:val="center"/>
        <w:rPr>
          <w:rFonts w:cs="Times New Roman"/>
          <w:sz w:val="20"/>
        </w:rPr>
      </w:pPr>
    </w:p>
    <w:p w14:paraId="7256B932" w14:textId="77777777" w:rsidR="00A95593" w:rsidRDefault="00A95593">
      <w:pPr>
        <w:pStyle w:val="BodyText"/>
        <w:jc w:val="center"/>
        <w:rPr>
          <w:rFonts w:cs="Times New Roman"/>
          <w:sz w:val="20"/>
        </w:rPr>
      </w:pPr>
    </w:p>
    <w:p w14:paraId="040B97CC" w14:textId="77777777" w:rsidR="00A95593" w:rsidRDefault="00A95593">
      <w:pPr>
        <w:rPr>
          <w:rFonts w:ascii="Times New Roman" w:hAnsi="Times New Roman" w:cs="Times New Roman"/>
          <w:b/>
          <w:sz w:val="28"/>
        </w:rPr>
      </w:pPr>
    </w:p>
    <w:p w14:paraId="4BCB1E7D" w14:textId="77777777" w:rsidR="00A95593" w:rsidRDefault="00A95593">
      <w:pPr>
        <w:rPr>
          <w:rFonts w:ascii="Times New Roman" w:hAnsi="Times New Roman" w:cs="Times New Roman"/>
          <w:b/>
          <w:sz w:val="28"/>
        </w:rPr>
      </w:pPr>
    </w:p>
    <w:p w14:paraId="4A5D6FC9" w14:textId="77777777" w:rsidR="00A95593" w:rsidRDefault="00A95593">
      <w:pPr>
        <w:rPr>
          <w:rFonts w:ascii="Times New Roman" w:hAnsi="Times New Roman" w:cs="Times New Roman"/>
          <w:b/>
          <w:sz w:val="28"/>
        </w:rPr>
      </w:pPr>
    </w:p>
    <w:p w14:paraId="7D964BB5" w14:textId="77777777" w:rsidR="00A95593" w:rsidRDefault="00A95593">
      <w:pPr>
        <w:rPr>
          <w:rFonts w:ascii="Times New Roman" w:hAnsi="Times New Roman" w:cs="Times New Roman"/>
          <w:b/>
          <w:sz w:val="28"/>
        </w:rPr>
      </w:pPr>
    </w:p>
    <w:p w14:paraId="09E348DB" w14:textId="77777777" w:rsidR="00A95593" w:rsidRDefault="00A95593">
      <w:pPr>
        <w:rPr>
          <w:rFonts w:ascii="Times New Roman" w:hAnsi="Times New Roman" w:cs="Times New Roman"/>
          <w:b/>
          <w:sz w:val="28"/>
        </w:rPr>
      </w:pPr>
    </w:p>
    <w:p w14:paraId="6F6EB4D3" w14:textId="77777777" w:rsidR="00A95593" w:rsidRDefault="00A95593">
      <w:pPr>
        <w:rPr>
          <w:rFonts w:ascii="Times New Roman" w:hAnsi="Times New Roman" w:cs="Times New Roman"/>
          <w:b/>
          <w:sz w:val="28"/>
        </w:rPr>
      </w:pPr>
    </w:p>
    <w:p w14:paraId="051BF67F" w14:textId="77777777" w:rsidR="00A95593" w:rsidRDefault="00A95593">
      <w:pPr>
        <w:rPr>
          <w:rFonts w:ascii="Times New Roman" w:hAnsi="Times New Roman" w:cs="Times New Roman"/>
          <w:b/>
          <w:sz w:val="28"/>
        </w:rPr>
      </w:pPr>
    </w:p>
    <w:p w14:paraId="1CCC12B9" w14:textId="77777777" w:rsidR="00A95593" w:rsidRDefault="00A95593">
      <w:pPr>
        <w:rPr>
          <w:rFonts w:ascii="Times New Roman" w:hAnsi="Times New Roman" w:cs="Times New Roman"/>
          <w:b/>
          <w:sz w:val="28"/>
        </w:rPr>
      </w:pPr>
    </w:p>
    <w:p w14:paraId="5BF6F99B" w14:textId="77777777" w:rsidR="00A95593" w:rsidRDefault="00A95593">
      <w:pPr>
        <w:rPr>
          <w:rFonts w:ascii="Times New Roman" w:hAnsi="Times New Roman" w:cs="Times New Roman"/>
          <w:b/>
          <w:sz w:val="28"/>
        </w:rPr>
      </w:pPr>
    </w:p>
    <w:p w14:paraId="2CD28434" w14:textId="77777777" w:rsidR="00A95593" w:rsidRDefault="00A95593">
      <w:pPr>
        <w:rPr>
          <w:rFonts w:ascii="Times New Roman" w:hAnsi="Times New Roman" w:cs="Times New Roman"/>
          <w:b/>
          <w:sz w:val="28"/>
        </w:rPr>
      </w:pPr>
    </w:p>
    <w:p w14:paraId="23269104" w14:textId="77777777" w:rsidR="00A95593" w:rsidRDefault="00A95593">
      <w:pPr>
        <w:pStyle w:val="BodyText"/>
        <w:spacing w:before="55"/>
        <w:rPr>
          <w:rFonts w:cs="Times New Roman"/>
          <w:b/>
          <w:sz w:val="28"/>
          <w:szCs w:val="22"/>
          <w:lang w:eastAsia="en-US"/>
        </w:rPr>
      </w:pPr>
    </w:p>
    <w:p w14:paraId="1995FCEE" w14:textId="3FFF4368" w:rsidR="00A95593" w:rsidRDefault="00B573F1">
      <w:pPr>
        <w:pStyle w:val="BodyText"/>
        <w:spacing w:before="55"/>
        <w:jc w:val="right"/>
        <w:rPr>
          <w:rFonts w:cs="Times New Roman"/>
          <w:b/>
          <w:bCs/>
          <w:szCs w:val="24"/>
        </w:rPr>
      </w:pPr>
      <w:r>
        <w:rPr>
          <w:rFonts w:cs="Times New Roman"/>
          <w:b/>
          <w:bCs/>
          <w:spacing w:val="2"/>
          <w:szCs w:val="24"/>
        </w:rPr>
        <w:lastRenderedPageBreak/>
        <w:t></w:t>
      </w:r>
      <w:r>
        <w:rPr>
          <w:rFonts w:cs="Times New Roman"/>
          <w:b/>
          <w:bCs/>
          <w:szCs w:val="24"/>
        </w:rPr>
        <w:t>Institute and</w:t>
      </w:r>
      <w:r>
        <w:rPr>
          <w:rFonts w:cs="Times New Roman"/>
          <w:b/>
          <w:bCs/>
          <w:spacing w:val="2"/>
          <w:szCs w:val="24"/>
        </w:rPr>
        <w:t xml:space="preserve"> </w:t>
      </w:r>
      <w:r>
        <w:rPr>
          <w:rFonts w:cs="Times New Roman"/>
          <w:b/>
          <w:bCs/>
          <w:szCs w:val="24"/>
        </w:rPr>
        <w:t>Faculty</w:t>
      </w:r>
      <w:r>
        <w:rPr>
          <w:rFonts w:cs="Times New Roman"/>
          <w:b/>
          <w:bCs/>
          <w:spacing w:val="-4"/>
          <w:szCs w:val="24"/>
        </w:rPr>
        <w:t xml:space="preserve"> </w:t>
      </w:r>
      <w:r>
        <w:rPr>
          <w:rFonts w:cs="Times New Roman"/>
          <w:b/>
          <w:bCs/>
          <w:spacing w:val="1"/>
          <w:szCs w:val="24"/>
        </w:rPr>
        <w:t>of</w:t>
      </w:r>
      <w:r>
        <w:rPr>
          <w:rFonts w:cs="Times New Roman"/>
          <w:b/>
          <w:bCs/>
          <w:szCs w:val="24"/>
        </w:rPr>
        <w:t xml:space="preserve"> Actuaries</w:t>
      </w:r>
    </w:p>
    <w:p w14:paraId="2A14EBF6" w14:textId="77777777" w:rsidR="00A95593" w:rsidRDefault="00B573F1">
      <w:pPr>
        <w:rPr>
          <w:rFonts w:ascii="Times New Roman" w:hAnsi="Times New Roman" w:cs="Times New Roman"/>
          <w:b/>
          <w:sz w:val="24"/>
          <w:szCs w:val="24"/>
        </w:rPr>
      </w:pPr>
      <w:r>
        <w:rPr>
          <w:rFonts w:ascii="Times New Roman" w:hAnsi="Times New Roman" w:cs="Times New Roman"/>
          <w:b/>
          <w:sz w:val="36"/>
          <w:szCs w:val="36"/>
        </w:rPr>
        <w:t>Modelling Annuity Amendments</w:t>
      </w:r>
      <w:r>
        <w:rPr>
          <w:rFonts w:ascii="Times New Roman" w:hAnsi="Times New Roman" w:cs="Times New Roman"/>
          <w:b/>
          <w:sz w:val="24"/>
          <w:szCs w:val="24"/>
        </w:rPr>
        <w:t xml:space="preserve"> </w:t>
      </w:r>
    </w:p>
    <w:p w14:paraId="7FAD0A5D" w14:textId="77777777" w:rsidR="00A95593" w:rsidRDefault="00B573F1">
      <w:pPr>
        <w:rPr>
          <w:rFonts w:ascii="Times New Roman" w:hAnsi="Times New Roman" w:cs="Times New Roman"/>
          <w:b/>
          <w:sz w:val="28"/>
          <w:szCs w:val="28"/>
        </w:rPr>
      </w:pPr>
      <w:r>
        <w:rPr>
          <w:rFonts w:ascii="Times New Roman" w:hAnsi="Times New Roman" w:cs="Times New Roman"/>
          <w:b/>
          <w:sz w:val="28"/>
          <w:szCs w:val="28"/>
        </w:rPr>
        <w:t>Objective</w:t>
      </w:r>
    </w:p>
    <w:p w14:paraId="2C73955C" w14:textId="60FE720B" w:rsidR="00A95593" w:rsidRDefault="00B573F1">
      <w:pPr>
        <w:rPr>
          <w:rFonts w:ascii="Times New Roman" w:hAnsi="Times New Roman" w:cs="Times New Roman"/>
          <w:sz w:val="24"/>
          <w:szCs w:val="24"/>
        </w:rPr>
      </w:pPr>
      <w:r>
        <w:rPr>
          <w:rFonts w:ascii="Times New Roman" w:hAnsi="Times New Roman" w:cs="Times New Roman"/>
          <w:sz w:val="24"/>
          <w:szCs w:val="24"/>
        </w:rPr>
        <w:t>The Chief Executive Officer (CEO) of XYZ insurance company (‘XYZ Insurance’), which sells fixed term annuities to individuals, needs to investigate the impact of a change in legislation which means the current amount and future increases of 100 of the annuities that are currently in payment will need to be amended. It has be</w:t>
      </w:r>
      <w:r w:rsidRPr="00F83CDD">
        <w:rPr>
          <w:rFonts w:ascii="Times New Roman" w:hAnsi="Times New Roman" w:cs="Times New Roman"/>
          <w:sz w:val="24"/>
          <w:szCs w:val="24"/>
        </w:rPr>
        <w:t>en determined that XYZ Insurance will have to meet 100% of any additional cost of amending the annuities.</w:t>
      </w:r>
      <w:r w:rsidR="00F83CDD" w:rsidRPr="00F83CDD">
        <w:rPr>
          <w:rStyle w:val="fontstyle01"/>
        </w:rPr>
        <w:t xml:space="preserve"> </w:t>
      </w:r>
      <w:r w:rsidR="00F83CDD" w:rsidRPr="00F83CDD">
        <w:rPr>
          <w:rFonts w:ascii="Times New Roman" w:hAnsi="Times New Roman" w:cs="Times New Roman"/>
          <w:sz w:val="24"/>
          <w:szCs w:val="24"/>
        </w:rPr>
        <w:t>The CEO’s proposed method is to retain, without adjustment, the annuities for annuitants where the NPV of the remaining annuity payments would be lower after amendment for the legislative change.</w:t>
      </w:r>
    </w:p>
    <w:p w14:paraId="6935C2C3" w14:textId="77777777" w:rsidR="00A95593" w:rsidRDefault="00B573F1">
      <w:pPr>
        <w:rPr>
          <w:rFonts w:ascii="Times New Roman" w:hAnsi="Times New Roman" w:cs="Times New Roman"/>
          <w:sz w:val="24"/>
          <w:szCs w:val="24"/>
        </w:rPr>
      </w:pPr>
      <w:r>
        <w:rPr>
          <w:rFonts w:ascii="Times New Roman" w:hAnsi="Times New Roman" w:cs="Times New Roman"/>
          <w:sz w:val="24"/>
          <w:szCs w:val="24"/>
        </w:rPr>
        <w:t>The CEO wishes to understand:</w:t>
      </w:r>
    </w:p>
    <w:p w14:paraId="4E7D9299" w14:textId="77777777" w:rsidR="00A95593" w:rsidRDefault="00B573F1">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 xml:space="preserve">Whether the amendments have a different effect on annuities with </w:t>
      </w:r>
    </w:p>
    <w:p w14:paraId="426DD6AB" w14:textId="77777777" w:rsidR="00A95593" w:rsidRDefault="00B573F1">
      <w:pPr>
        <w:pStyle w:val="ListParagraph"/>
        <w:numPr>
          <w:ilvl w:val="1"/>
          <w:numId w:val="15"/>
        </w:numPr>
        <w:rPr>
          <w:rFonts w:ascii="Times New Roman" w:hAnsi="Times New Roman" w:cs="Times New Roman"/>
        </w:rPr>
      </w:pPr>
      <w:r>
        <w:rPr>
          <w:rFonts w:ascii="Times New Roman" w:hAnsi="Times New Roman" w:cs="Times New Roman"/>
          <w:sz w:val="24"/>
          <w:szCs w:val="24"/>
        </w:rPr>
        <w:t xml:space="preserve">different terms remaining, </w:t>
      </w:r>
    </w:p>
    <w:p w14:paraId="0AD124DB" w14:textId="6F2D33AC" w:rsidR="00A95593" w:rsidRDefault="00B573F1">
      <w:pPr>
        <w:pStyle w:val="ListParagraph"/>
        <w:numPr>
          <w:ilvl w:val="1"/>
          <w:numId w:val="15"/>
        </w:numPr>
        <w:rPr>
          <w:rFonts w:ascii="Times New Roman" w:hAnsi="Times New Roman" w:cs="Times New Roman"/>
        </w:rPr>
      </w:pPr>
      <w:r>
        <w:rPr>
          <w:rFonts w:ascii="Times New Roman" w:hAnsi="Times New Roman" w:cs="Times New Roman"/>
          <w:sz w:val="24"/>
          <w:szCs w:val="24"/>
        </w:rPr>
        <w:t>different proportions affected by the legislation</w:t>
      </w:r>
      <w:r w:rsidR="00F83CDD">
        <w:rPr>
          <w:rFonts w:ascii="Times New Roman" w:hAnsi="Times New Roman" w:cs="Times New Roman"/>
          <w:sz w:val="24"/>
          <w:szCs w:val="24"/>
        </w:rPr>
        <w:t xml:space="preserve"> </w:t>
      </w:r>
      <w:r>
        <w:rPr>
          <w:rFonts w:ascii="Times New Roman" w:hAnsi="Times New Roman" w:cs="Times New Roman"/>
          <w:sz w:val="24"/>
          <w:szCs w:val="24"/>
        </w:rPr>
        <w:t xml:space="preserve">and </w:t>
      </w:r>
    </w:p>
    <w:p w14:paraId="147FAB05" w14:textId="4BE46384" w:rsidR="00A95593" w:rsidRDefault="00B573F1">
      <w:pPr>
        <w:pStyle w:val="ListParagraph"/>
        <w:numPr>
          <w:ilvl w:val="1"/>
          <w:numId w:val="15"/>
        </w:numPr>
        <w:rPr>
          <w:rFonts w:ascii="Times New Roman" w:hAnsi="Times New Roman" w:cs="Times New Roman"/>
        </w:rPr>
      </w:pPr>
      <w:r>
        <w:rPr>
          <w:rFonts w:ascii="Times New Roman" w:hAnsi="Times New Roman" w:cs="Times New Roman"/>
          <w:sz w:val="24"/>
          <w:szCs w:val="24"/>
        </w:rPr>
        <w:t xml:space="preserve">different future increases p.a. </w:t>
      </w:r>
    </w:p>
    <w:p w14:paraId="677CD211" w14:textId="5F5FA6E7" w:rsidR="00A95593" w:rsidRDefault="00B573F1">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The overall additional cost to XYZ Insurance of having to amend the benefits</w:t>
      </w:r>
    </w:p>
    <w:p w14:paraId="7392C78D" w14:textId="77777777" w:rsidR="00F83CDD" w:rsidRDefault="00F83CDD" w:rsidP="00F83CDD">
      <w:pPr>
        <w:pStyle w:val="ListParagraph"/>
        <w:ind w:left="780"/>
        <w:rPr>
          <w:rFonts w:ascii="Times New Roman" w:hAnsi="Times New Roman" w:cs="Times New Roman"/>
          <w:sz w:val="24"/>
          <w:szCs w:val="24"/>
        </w:rPr>
      </w:pPr>
    </w:p>
    <w:p w14:paraId="3A93C419" w14:textId="77777777" w:rsidR="00A95593" w:rsidRDefault="00B573F1">
      <w:pPr>
        <w:rPr>
          <w:rFonts w:ascii="Times New Roman" w:hAnsi="Times New Roman" w:cs="Times New Roman"/>
          <w:b/>
          <w:sz w:val="28"/>
          <w:szCs w:val="28"/>
        </w:rPr>
      </w:pPr>
      <w:r>
        <w:rPr>
          <w:rFonts w:ascii="Times New Roman" w:hAnsi="Times New Roman" w:cs="Times New Roman"/>
          <w:b/>
          <w:sz w:val="28"/>
          <w:szCs w:val="28"/>
        </w:rPr>
        <w:t>Data</w:t>
      </w:r>
    </w:p>
    <w:p w14:paraId="51D6B877" w14:textId="40849587" w:rsidR="00A95593" w:rsidRDefault="00B573F1">
      <w:pPr>
        <w:rPr>
          <w:rFonts w:ascii="Times New Roman" w:hAnsi="Times New Roman" w:cs="Times New Roman"/>
          <w:sz w:val="24"/>
          <w:szCs w:val="24"/>
        </w:rPr>
      </w:pPr>
      <w:r>
        <w:rPr>
          <w:rFonts w:ascii="Times New Roman" w:hAnsi="Times New Roman" w:cs="Times New Roman"/>
          <w:sz w:val="24"/>
          <w:szCs w:val="24"/>
        </w:rPr>
        <w:t xml:space="preserve">XYZ insurance’s administration department has supplied details of the current portfolio annuity policies affected by the change in legislation, including the start date, starting amount, current increase rate p.a., total term of annuity and the proportion of the annuity affected by the change in legislation. </w:t>
      </w:r>
    </w:p>
    <w:p w14:paraId="356F8EB7" w14:textId="77777777" w:rsidR="00A95593" w:rsidRDefault="00B573F1">
      <w:pPr>
        <w:rPr>
          <w:rFonts w:ascii="Times New Roman" w:hAnsi="Times New Roman" w:cs="Times New Roman"/>
          <w:sz w:val="24"/>
          <w:szCs w:val="24"/>
        </w:rPr>
      </w:pPr>
      <w:r>
        <w:rPr>
          <w:rFonts w:ascii="Times New Roman" w:hAnsi="Times New Roman" w:cs="Times New Roman"/>
          <w:sz w:val="24"/>
          <w:szCs w:val="24"/>
        </w:rPr>
        <w:t>The CEO has also provided the discount rate of 6.5% p.a. to use in the calculations.</w:t>
      </w:r>
    </w:p>
    <w:p w14:paraId="13C2C206" w14:textId="77777777" w:rsidR="00A95593" w:rsidRDefault="00B573F1">
      <w:pPr>
        <w:rPr>
          <w:rFonts w:ascii="Times New Roman" w:hAnsi="Times New Roman" w:cs="Times New Roman"/>
          <w:b/>
          <w:sz w:val="24"/>
          <w:szCs w:val="24"/>
        </w:rPr>
      </w:pPr>
      <w:r>
        <w:rPr>
          <w:rFonts w:ascii="Times New Roman" w:hAnsi="Times New Roman" w:cs="Times New Roman"/>
          <w:sz w:val="24"/>
          <w:szCs w:val="24"/>
        </w:rPr>
        <w:t>Additionally, the Regulator has provided the increase rate (4%) and one-off uplift (10%) to be applied to the affected part of the annuities and also the date the amendment is effective (1 January 2023).</w:t>
      </w:r>
      <w:r>
        <w:rPr>
          <w:rFonts w:ascii="Times New Roman" w:hAnsi="Times New Roman" w:cs="Times New Roman"/>
          <w:b/>
          <w:sz w:val="24"/>
          <w:szCs w:val="24"/>
        </w:rPr>
        <w:t xml:space="preserve"> </w:t>
      </w:r>
    </w:p>
    <w:p w14:paraId="319A14DB" w14:textId="77777777" w:rsidR="00A95593" w:rsidRDefault="00B573F1">
      <w:pPr>
        <w:rPr>
          <w:rFonts w:ascii="Times New Roman" w:hAnsi="Times New Roman" w:cs="Times New Roman"/>
          <w:sz w:val="24"/>
          <w:szCs w:val="24"/>
        </w:rPr>
      </w:pPr>
      <w:r>
        <w:rPr>
          <w:rFonts w:ascii="Times New Roman" w:hAnsi="Times New Roman" w:cs="Times New Roman"/>
          <w:sz w:val="24"/>
          <w:szCs w:val="24"/>
        </w:rPr>
        <w:t>Data has been checked at a high level including that annuities are still in payment and that term, increases and starting annuity amounts are within expected ranges.  The data was deemed to be sensible for use.</w:t>
      </w:r>
    </w:p>
    <w:p w14:paraId="7F1EE3A1" w14:textId="77777777" w:rsidR="00A95593" w:rsidRDefault="00B573F1">
      <w:pPr>
        <w:rPr>
          <w:rFonts w:ascii="Times New Roman" w:hAnsi="Times New Roman" w:cs="Times New Roman"/>
          <w:b/>
          <w:sz w:val="28"/>
          <w:szCs w:val="28"/>
        </w:rPr>
      </w:pPr>
      <w:r>
        <w:rPr>
          <w:rFonts w:ascii="Times New Roman" w:hAnsi="Times New Roman" w:cs="Times New Roman"/>
          <w:b/>
          <w:sz w:val="28"/>
          <w:szCs w:val="28"/>
        </w:rPr>
        <w:t>Assumptions</w:t>
      </w:r>
    </w:p>
    <w:p w14:paraId="5F0FA207" w14:textId="77777777" w:rsidR="00A95593" w:rsidRDefault="00B573F1">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rPr>
        <w:t xml:space="preserve">There is no allowance for mortality before the end of each annuity’s term. </w:t>
      </w:r>
    </w:p>
    <w:p w14:paraId="75C7E133" w14:textId="13143E7C" w:rsidR="00A95593" w:rsidRDefault="00B573F1">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rPr>
        <w:t xml:space="preserve">The data is complete and correct. In particular, the calculation of the fraction of the annuity payment affected by the change in legislation. </w:t>
      </w:r>
    </w:p>
    <w:p w14:paraId="101748A2" w14:textId="77777777" w:rsidR="00A95593" w:rsidRDefault="00B573F1">
      <w:pPr>
        <w:pStyle w:val="ListParagraph"/>
        <w:numPr>
          <w:ilvl w:val="0"/>
          <w:numId w:val="3"/>
        </w:numPr>
        <w:rPr>
          <w:rFonts w:ascii="Times New Roman" w:hAnsi="Times New Roman" w:cs="Times New Roman"/>
          <w:bCs/>
          <w:sz w:val="24"/>
          <w:szCs w:val="24"/>
        </w:rPr>
      </w:pPr>
      <w:r>
        <w:rPr>
          <w:rFonts w:ascii="Times New Roman" w:hAnsi="Times New Roman" w:cs="Times New Roman"/>
          <w:b/>
          <w:sz w:val="24"/>
          <w:szCs w:val="24"/>
        </w:rPr>
        <w:t>Any other annuities in payment with XYZ Insurance, other than the 100 analysed, are not affected.</w:t>
      </w:r>
    </w:p>
    <w:p w14:paraId="684A1FED" w14:textId="77777777" w:rsidR="00A95593" w:rsidRDefault="00B573F1">
      <w:pPr>
        <w:pStyle w:val="ListParagraph"/>
        <w:numPr>
          <w:ilvl w:val="0"/>
          <w:numId w:val="3"/>
        </w:numPr>
        <w:rPr>
          <w:rFonts w:ascii="Times New Roman" w:hAnsi="Times New Roman" w:cs="Times New Roman"/>
          <w:bCs/>
          <w:sz w:val="24"/>
          <w:szCs w:val="24"/>
        </w:rPr>
      </w:pPr>
      <w:r>
        <w:rPr>
          <w:rFonts w:ascii="Times New Roman" w:hAnsi="Times New Roman" w:cs="Times New Roman"/>
          <w:bCs/>
          <w:sz w:val="24"/>
          <w:szCs w:val="24"/>
        </w:rPr>
        <w:t xml:space="preserve">The amendment is only required from 1 January 2023 and will not need to be backdated. </w:t>
      </w:r>
    </w:p>
    <w:p w14:paraId="7EB7C653" w14:textId="77777777" w:rsidR="00A95593" w:rsidRDefault="00B573F1">
      <w:pPr>
        <w:pStyle w:val="ListParagraph"/>
        <w:numPr>
          <w:ilvl w:val="0"/>
          <w:numId w:val="3"/>
        </w:numPr>
        <w:rPr>
          <w:rFonts w:ascii="Times New Roman" w:hAnsi="Times New Roman" w:cs="Times New Roman"/>
          <w:sz w:val="24"/>
          <w:szCs w:val="24"/>
        </w:rPr>
      </w:pPr>
      <w:r>
        <w:rPr>
          <w:rFonts w:ascii="Times New Roman" w:hAnsi="Times New Roman" w:cs="Times New Roman"/>
          <w:bCs/>
          <w:sz w:val="24"/>
          <w:szCs w:val="24"/>
        </w:rPr>
        <w:lastRenderedPageBreak/>
        <w:t xml:space="preserve">The method of identifying annuitants who would be worse off by using the net present value of the remaining annuity payments before and after amendment is acceptable under all regulations and fair to annuitants. </w:t>
      </w:r>
    </w:p>
    <w:p w14:paraId="6B404853" w14:textId="77777777" w:rsidR="00A95593" w:rsidRDefault="00B573F1">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Annuitants cannot cancel their annuities.</w:t>
      </w:r>
    </w:p>
    <w:p w14:paraId="1C2380D4" w14:textId="77777777" w:rsidR="00A95593" w:rsidRDefault="00B573F1">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Annuitants cannot change the term, </w:t>
      </w:r>
      <w:proofErr w:type="gramStart"/>
      <w:r>
        <w:rPr>
          <w:rFonts w:ascii="Times New Roman" w:hAnsi="Times New Roman" w:cs="Times New Roman"/>
          <w:sz w:val="24"/>
          <w:szCs w:val="24"/>
        </w:rPr>
        <w:t>amount</w:t>
      </w:r>
      <w:proofErr w:type="gramEnd"/>
      <w:r>
        <w:rPr>
          <w:rFonts w:ascii="Times New Roman" w:hAnsi="Times New Roman" w:cs="Times New Roman"/>
          <w:sz w:val="24"/>
          <w:szCs w:val="24"/>
        </w:rPr>
        <w:t xml:space="preserve"> or increase rate of their annuities once the policy has started (other than the required legislation changes).</w:t>
      </w:r>
    </w:p>
    <w:p w14:paraId="1912156B" w14:textId="77777777" w:rsidR="00A95593" w:rsidRDefault="00B573F1">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Annuitants cannot decide whether or not to accept the legislation changes.</w:t>
      </w:r>
    </w:p>
    <w:p w14:paraId="65CC5986" w14:textId="77777777" w:rsidR="00A95593" w:rsidRDefault="00B573F1">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There are no other new changes in legislation affecting the annuities.</w:t>
      </w:r>
    </w:p>
    <w:p w14:paraId="6B935799" w14:textId="77777777" w:rsidR="00A95593" w:rsidRDefault="00B573F1">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XYZ Insurance remains solvent and does not default on the annuities. </w:t>
      </w:r>
    </w:p>
    <w:p w14:paraId="0E947455" w14:textId="77777777" w:rsidR="00A95593" w:rsidRDefault="00A95593">
      <w:pPr>
        <w:rPr>
          <w:rFonts w:ascii="Times New Roman" w:hAnsi="Times New Roman" w:cs="Times New Roman"/>
          <w:b/>
          <w:sz w:val="28"/>
          <w:szCs w:val="28"/>
        </w:rPr>
      </w:pPr>
    </w:p>
    <w:p w14:paraId="703F9C25" w14:textId="77777777" w:rsidR="00A95593" w:rsidRDefault="00B573F1">
      <w:pPr>
        <w:rPr>
          <w:rFonts w:ascii="Times New Roman" w:hAnsi="Times New Roman" w:cs="Times New Roman"/>
          <w:b/>
          <w:sz w:val="28"/>
          <w:szCs w:val="28"/>
        </w:rPr>
      </w:pPr>
      <w:r>
        <w:rPr>
          <w:rFonts w:ascii="Times New Roman" w:hAnsi="Times New Roman" w:cs="Times New Roman"/>
          <w:b/>
          <w:sz w:val="28"/>
          <w:szCs w:val="28"/>
        </w:rPr>
        <w:t>Methodology</w:t>
      </w:r>
    </w:p>
    <w:p w14:paraId="53562B48"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 xml:space="preserve">Annuity amounts p.a. are projected to the 1 January 2023 amendment date and annuity factors are applied to value the remaining payments before and after amendment. Then a value test is applied and analysis of the increase in value due to the amendments is carried out. Finally, annuity payments are projected to the end of their term before and after amendment and an analysis of the increase in annuity payment p.a. due to amendment and the proportion of </w:t>
      </w:r>
      <w:proofErr w:type="gramStart"/>
      <w:r>
        <w:rPr>
          <w:rFonts w:ascii="Times New Roman" w:hAnsi="Times New Roman" w:cs="Times New Roman"/>
          <w:bCs/>
          <w:sz w:val="24"/>
          <w:szCs w:val="24"/>
        </w:rPr>
        <w:t>the a</w:t>
      </w:r>
      <w:proofErr w:type="gramEnd"/>
      <w:r>
        <w:rPr>
          <w:rFonts w:ascii="Times New Roman" w:hAnsi="Times New Roman" w:cs="Times New Roman"/>
          <w:bCs/>
          <w:sz w:val="24"/>
          <w:szCs w:val="24"/>
        </w:rPr>
        <w:t xml:space="preserve"> annuities affected by the amendment with respect to their term remaining is carried out. </w:t>
      </w:r>
    </w:p>
    <w:p w14:paraId="2BC73C1A" w14:textId="77777777" w:rsidR="00A95593" w:rsidRDefault="00B573F1">
      <w:pPr>
        <w:rPr>
          <w:rFonts w:ascii="Times New Roman" w:hAnsi="Times New Roman" w:cs="Times New Roman"/>
          <w:b/>
          <w:bCs/>
          <w:i/>
          <w:sz w:val="24"/>
          <w:szCs w:val="24"/>
        </w:rPr>
      </w:pPr>
      <w:r>
        <w:rPr>
          <w:rFonts w:ascii="Times New Roman" w:hAnsi="Times New Roman" w:cs="Times New Roman"/>
          <w:b/>
          <w:bCs/>
          <w:i/>
          <w:sz w:val="24"/>
          <w:szCs w:val="24"/>
        </w:rPr>
        <w:t>Projection of annuities to the amendment date</w:t>
      </w:r>
    </w:p>
    <w:p w14:paraId="15598E36" w14:textId="0AADDCEA" w:rsidR="00A95593" w:rsidRDefault="00B573F1">
      <w:pPr>
        <w:rPr>
          <w:rFonts w:ascii="Times New Roman" w:hAnsi="Times New Roman" w:cs="Times New Roman"/>
          <w:i/>
          <w:sz w:val="24"/>
          <w:szCs w:val="24"/>
        </w:rPr>
      </w:pPr>
      <w:r>
        <w:rPr>
          <w:rFonts w:ascii="Times New Roman" w:hAnsi="Times New Roman" w:cs="Times New Roman"/>
          <w:i/>
          <w:sz w:val="24"/>
          <w:szCs w:val="24"/>
        </w:rPr>
        <w:t>Projection of annuity amount to 1 January 2022</w:t>
      </w:r>
    </w:p>
    <w:p w14:paraId="27B15C26" w14:textId="77777777" w:rsidR="00A95593" w:rsidRDefault="00B573F1">
      <w:pPr>
        <w:rPr>
          <w:rFonts w:ascii="Times New Roman" w:hAnsi="Times New Roman" w:cs="Times New Roman"/>
          <w:iCs/>
          <w:sz w:val="24"/>
          <w:szCs w:val="24"/>
        </w:rPr>
      </w:pPr>
      <w:r>
        <w:rPr>
          <w:rFonts w:ascii="Times New Roman" w:hAnsi="Times New Roman" w:cs="Times New Roman"/>
          <w:iCs/>
          <w:sz w:val="24"/>
          <w:szCs w:val="24"/>
        </w:rPr>
        <w:t xml:space="preserve">For each individual annuity, the starting annuity amount p.a. was multiplied by (1+ its current increase </w:t>
      </w:r>
      <w:proofErr w:type="gramStart"/>
      <w:r>
        <w:rPr>
          <w:rFonts w:ascii="Times New Roman" w:hAnsi="Times New Roman" w:cs="Times New Roman"/>
          <w:iCs/>
          <w:sz w:val="24"/>
          <w:szCs w:val="24"/>
        </w:rPr>
        <w:t>rate)^</w:t>
      </w:r>
      <w:proofErr w:type="gramEnd"/>
      <w:r>
        <w:rPr>
          <w:rFonts w:ascii="Times New Roman" w:hAnsi="Times New Roman" w:cs="Times New Roman"/>
          <w:iCs/>
          <w:sz w:val="24"/>
          <w:szCs w:val="24"/>
        </w:rPr>
        <w:t xml:space="preserve"> (number of increases between start of policy and 1 January 2022)</w:t>
      </w:r>
    </w:p>
    <w:p w14:paraId="5A28EFED" w14:textId="16F077E9" w:rsidR="00A95593" w:rsidRDefault="00B573F1">
      <w:pPr>
        <w:rPr>
          <w:rFonts w:ascii="Times New Roman" w:hAnsi="Times New Roman" w:cs="Times New Roman"/>
          <w:iCs/>
          <w:sz w:val="24"/>
          <w:szCs w:val="24"/>
        </w:rPr>
      </w:pPr>
      <w:r>
        <w:rPr>
          <w:rFonts w:ascii="Times New Roman" w:hAnsi="Times New Roman" w:cs="Times New Roman"/>
          <w:iCs/>
          <w:sz w:val="24"/>
          <w:szCs w:val="24"/>
        </w:rPr>
        <w:t>Where the number of increases is calculated as 202</w:t>
      </w:r>
      <w:r w:rsidR="00F83CDD">
        <w:rPr>
          <w:rFonts w:ascii="Times New Roman" w:hAnsi="Times New Roman" w:cs="Times New Roman"/>
          <w:iCs/>
          <w:sz w:val="24"/>
          <w:szCs w:val="24"/>
        </w:rPr>
        <w:t>3</w:t>
      </w:r>
      <w:r>
        <w:rPr>
          <w:rFonts w:ascii="Times New Roman" w:hAnsi="Times New Roman" w:cs="Times New Roman"/>
          <w:iCs/>
          <w:sz w:val="24"/>
          <w:szCs w:val="24"/>
        </w:rPr>
        <w:t xml:space="preserve"> minus the calendar year of the annuity start date, minus one as there is no increase at the time of the first payment.</w:t>
      </w:r>
    </w:p>
    <w:p w14:paraId="6F8933EE" w14:textId="77777777" w:rsidR="00A95593" w:rsidRDefault="00B573F1">
      <w:pPr>
        <w:rPr>
          <w:rFonts w:ascii="Times New Roman" w:hAnsi="Times New Roman" w:cs="Times New Roman"/>
          <w:i/>
          <w:sz w:val="24"/>
          <w:szCs w:val="24"/>
        </w:rPr>
      </w:pPr>
      <w:r>
        <w:rPr>
          <w:rFonts w:ascii="Times New Roman" w:hAnsi="Times New Roman" w:cs="Times New Roman"/>
          <w:i/>
          <w:sz w:val="24"/>
          <w:szCs w:val="24"/>
        </w:rPr>
        <w:t>Projection of total annuity amount to 1 January 2023 using current increases</w:t>
      </w:r>
    </w:p>
    <w:p w14:paraId="7D9A33AF" w14:textId="77777777" w:rsidR="00A95593" w:rsidRDefault="00B573F1">
      <w:pPr>
        <w:rPr>
          <w:rFonts w:ascii="Times New Roman" w:hAnsi="Times New Roman" w:cs="Times New Roman"/>
          <w:iCs/>
          <w:sz w:val="24"/>
          <w:szCs w:val="24"/>
        </w:rPr>
      </w:pPr>
      <w:r>
        <w:rPr>
          <w:rFonts w:ascii="Times New Roman" w:hAnsi="Times New Roman" w:cs="Times New Roman"/>
          <w:iCs/>
          <w:sz w:val="24"/>
          <w:szCs w:val="24"/>
        </w:rPr>
        <w:t>For each individual annuity, the 1 January 2022 annuity amount p.a. was multiplied by (1+ its current increase rate).</w:t>
      </w:r>
    </w:p>
    <w:p w14:paraId="1FBDB517" w14:textId="77777777" w:rsidR="00A95593" w:rsidRDefault="00B573F1">
      <w:pPr>
        <w:rPr>
          <w:rFonts w:ascii="Times New Roman" w:hAnsi="Times New Roman" w:cs="Times New Roman"/>
          <w:i/>
          <w:sz w:val="24"/>
          <w:szCs w:val="24"/>
        </w:rPr>
      </w:pPr>
      <w:r>
        <w:rPr>
          <w:rFonts w:ascii="Times New Roman" w:hAnsi="Times New Roman" w:cs="Times New Roman"/>
          <w:i/>
          <w:sz w:val="24"/>
          <w:szCs w:val="24"/>
        </w:rPr>
        <w:t xml:space="preserve">Projection of unaffected proportion of annuity amount to 1 January 2023 </w:t>
      </w:r>
    </w:p>
    <w:p w14:paraId="4BD8F837" w14:textId="77777777" w:rsidR="00A95593" w:rsidRDefault="00B573F1">
      <w:pPr>
        <w:rPr>
          <w:rFonts w:ascii="Times New Roman" w:hAnsi="Times New Roman" w:cs="Times New Roman"/>
          <w:iCs/>
          <w:sz w:val="24"/>
          <w:szCs w:val="24"/>
        </w:rPr>
      </w:pPr>
      <w:r>
        <w:rPr>
          <w:rFonts w:ascii="Times New Roman" w:hAnsi="Times New Roman" w:cs="Times New Roman"/>
          <w:iCs/>
          <w:sz w:val="24"/>
          <w:szCs w:val="24"/>
        </w:rPr>
        <w:t>For each individual annuity, the 1 January 2022 total annuity amount p.a. was multiplied by (1- the proportion affected by amendment) and by (1+ current increase rate).</w:t>
      </w:r>
    </w:p>
    <w:p w14:paraId="5DB72D0C" w14:textId="77777777" w:rsidR="00A95593" w:rsidRDefault="00B573F1">
      <w:pPr>
        <w:rPr>
          <w:rFonts w:ascii="Times New Roman" w:hAnsi="Times New Roman" w:cs="Times New Roman"/>
          <w:i/>
          <w:sz w:val="24"/>
          <w:szCs w:val="24"/>
        </w:rPr>
      </w:pPr>
      <w:r>
        <w:rPr>
          <w:rFonts w:ascii="Times New Roman" w:hAnsi="Times New Roman" w:cs="Times New Roman"/>
          <w:i/>
          <w:sz w:val="24"/>
          <w:szCs w:val="24"/>
        </w:rPr>
        <w:t>Projection of amended proportion of annuity amount to 1 January 2023</w:t>
      </w:r>
    </w:p>
    <w:p w14:paraId="574801BF" w14:textId="77777777" w:rsidR="00A95593" w:rsidRDefault="00B573F1">
      <w:pPr>
        <w:rPr>
          <w:rFonts w:ascii="Times New Roman" w:hAnsi="Times New Roman" w:cs="Times New Roman"/>
          <w:iCs/>
          <w:sz w:val="24"/>
          <w:szCs w:val="24"/>
        </w:rPr>
      </w:pPr>
      <w:r>
        <w:rPr>
          <w:rFonts w:ascii="Times New Roman" w:hAnsi="Times New Roman" w:cs="Times New Roman"/>
          <w:iCs/>
          <w:sz w:val="24"/>
          <w:szCs w:val="24"/>
        </w:rPr>
        <w:t>For each individual annuity, the 1 January 2022 total annuity amount p.a. was multiplied by the proportion affected by amendment and by (1+ the 10% uplift) and by (1+ amended increase rate)</w:t>
      </w:r>
    </w:p>
    <w:p w14:paraId="0077D4CE" w14:textId="77777777" w:rsidR="00A95593" w:rsidRDefault="00B573F1">
      <w:pPr>
        <w:rPr>
          <w:rFonts w:ascii="Times New Roman" w:hAnsi="Times New Roman" w:cs="Times New Roman"/>
          <w:b/>
          <w:bCs/>
          <w:i/>
          <w:sz w:val="24"/>
          <w:szCs w:val="24"/>
        </w:rPr>
      </w:pPr>
      <w:r>
        <w:rPr>
          <w:rFonts w:ascii="Times New Roman" w:hAnsi="Times New Roman" w:cs="Times New Roman"/>
          <w:b/>
          <w:bCs/>
          <w:i/>
          <w:sz w:val="24"/>
          <w:szCs w:val="24"/>
        </w:rPr>
        <w:t>Value of annuities before and after amendment</w:t>
      </w:r>
    </w:p>
    <w:p w14:paraId="102BA334" w14:textId="77777777" w:rsidR="00A95593" w:rsidRDefault="00B573F1">
      <w:pPr>
        <w:rPr>
          <w:rFonts w:ascii="Times New Roman" w:hAnsi="Times New Roman" w:cs="Times New Roman"/>
          <w:i/>
          <w:sz w:val="24"/>
          <w:szCs w:val="24"/>
        </w:rPr>
      </w:pPr>
      <w:r>
        <w:rPr>
          <w:rFonts w:ascii="Times New Roman" w:hAnsi="Times New Roman" w:cs="Times New Roman"/>
          <w:i/>
          <w:sz w:val="24"/>
          <w:szCs w:val="24"/>
        </w:rPr>
        <w:t>Annuity factors from 1 January 2023</w:t>
      </w:r>
    </w:p>
    <w:p w14:paraId="7520B67D" w14:textId="77777777" w:rsidR="00A95593" w:rsidRDefault="00B573F1">
      <w:pPr>
        <w:rPr>
          <w:rFonts w:ascii="Times New Roman" w:hAnsi="Times New Roman" w:cs="Times New Roman"/>
          <w:iCs/>
          <w:sz w:val="24"/>
          <w:szCs w:val="24"/>
        </w:rPr>
      </w:pPr>
      <w:r>
        <w:rPr>
          <w:rFonts w:ascii="Times New Roman" w:hAnsi="Times New Roman" w:cs="Times New Roman"/>
          <w:iCs/>
          <w:sz w:val="24"/>
          <w:szCs w:val="24"/>
        </w:rPr>
        <w:lastRenderedPageBreak/>
        <w:t xml:space="preserve">Annuity factors were calculated using the following formula for both the current annuity increase p.a. and the amended 4% annuity increase for each annuitant. </w:t>
      </w:r>
    </w:p>
    <w:p w14:paraId="0305D263" w14:textId="0582CDB9" w:rsidR="00A95593" w:rsidRPr="00F83CDD" w:rsidRDefault="00B573F1">
      <w:pPr>
        <w:spacing w:line="22" w:lineRule="atLeast"/>
        <w:rPr>
          <w:rFonts w:ascii="Times New Roman" w:hAnsi="Times New Roman" w:cs="Times New Roman"/>
          <w:iCs/>
          <w:sz w:val="24"/>
          <w:szCs w:val="24"/>
        </w:rPr>
      </w:pPr>
      <w:r>
        <w:rPr>
          <w:rFonts w:ascii="Times New Roman" w:hAnsi="Times New Roman" w:cs="Times New Roman"/>
          <w:iCs/>
          <w:sz w:val="24"/>
          <w:szCs w:val="24"/>
        </w:rPr>
        <w:t xml:space="preserve">[1 </w:t>
      </w:r>
      <w:r>
        <w:rPr>
          <w:rFonts w:ascii="Times New Roman" w:hAnsi="Times New Roman" w:cs="Times New Roman"/>
          <w:iCs/>
          <w:sz w:val="24"/>
          <w:szCs w:val="24"/>
        </w:rPr>
        <w:noBreakHyphen/>
        <w:t xml:space="preserve"> (1 + net discount rate) ^ - Annuity term remaining] / net </w:t>
      </w:r>
      <w:r w:rsidRPr="00F83CDD">
        <w:rPr>
          <w:rFonts w:ascii="Times New Roman" w:hAnsi="Times New Roman" w:cs="Times New Roman"/>
          <w:iCs/>
          <w:sz w:val="24"/>
          <w:szCs w:val="24"/>
        </w:rPr>
        <w:t>discount rate</w:t>
      </w:r>
      <w:r w:rsidR="00F83CDD">
        <w:rPr>
          <w:rFonts w:ascii="Times New Roman" w:hAnsi="Times New Roman" w:cs="Times New Roman"/>
          <w:iCs/>
          <w:sz w:val="24"/>
          <w:szCs w:val="24"/>
        </w:rPr>
        <w:t xml:space="preserve"> *</w:t>
      </w:r>
      <w:r w:rsidRPr="00F83CDD">
        <w:rPr>
          <w:rFonts w:ascii="Times New Roman" w:hAnsi="Times New Roman" w:cs="Times New Roman"/>
          <w:iCs/>
          <w:sz w:val="24"/>
          <w:szCs w:val="24"/>
        </w:rPr>
        <w:t xml:space="preserve"> </w:t>
      </w:r>
      <w:r w:rsidR="00F83CDD" w:rsidRPr="00F83CDD">
        <w:rPr>
          <w:rFonts w:ascii="Times New Roman" w:hAnsi="Times New Roman" w:cs="Times New Roman"/>
          <w:sz w:val="24"/>
          <w:szCs w:val="24"/>
          <w:lang w:val="en-US"/>
        </w:rPr>
        <w:t>(1+ net discount rate)</w:t>
      </w:r>
    </w:p>
    <w:p w14:paraId="1164CA4D" w14:textId="77777777" w:rsidR="00A95593" w:rsidRDefault="00B573F1">
      <w:pPr>
        <w:rPr>
          <w:rFonts w:ascii="Times New Roman" w:hAnsi="Times New Roman" w:cs="Times New Roman"/>
          <w:iCs/>
          <w:sz w:val="24"/>
          <w:szCs w:val="24"/>
        </w:rPr>
      </w:pPr>
      <w:r>
        <w:rPr>
          <w:rFonts w:ascii="Times New Roman" w:hAnsi="Times New Roman" w:cs="Times New Roman"/>
          <w:iCs/>
          <w:sz w:val="24"/>
          <w:szCs w:val="24"/>
        </w:rPr>
        <w:t>Where the net discount rate is calculated as:</w:t>
      </w:r>
    </w:p>
    <w:p w14:paraId="62B1B780" w14:textId="7B51852B" w:rsidR="00A95593" w:rsidRDefault="00B573F1">
      <w:pPr>
        <w:rPr>
          <w:rFonts w:ascii="Times New Roman" w:hAnsi="Times New Roman" w:cs="Times New Roman"/>
          <w:iCs/>
          <w:sz w:val="24"/>
          <w:szCs w:val="24"/>
        </w:rPr>
      </w:pPr>
      <w:r>
        <w:rPr>
          <w:rFonts w:ascii="Times New Roman" w:hAnsi="Times New Roman" w:cs="Times New Roman"/>
          <w:iCs/>
          <w:sz w:val="24"/>
          <w:szCs w:val="24"/>
        </w:rPr>
        <w:t>(1 + discount rate p.a.) / (1 + increase rate p.a.</w:t>
      </w:r>
      <w:r w:rsidR="00286E3E">
        <w:rPr>
          <w:rFonts w:ascii="Times New Roman" w:hAnsi="Times New Roman" w:cs="Times New Roman"/>
          <w:iCs/>
          <w:sz w:val="24"/>
          <w:szCs w:val="24"/>
        </w:rPr>
        <w:t>)</w:t>
      </w:r>
      <w:r>
        <w:rPr>
          <w:rFonts w:ascii="Times New Roman" w:hAnsi="Times New Roman" w:cs="Times New Roman"/>
          <w:iCs/>
          <w:sz w:val="24"/>
          <w:szCs w:val="24"/>
        </w:rPr>
        <w:t xml:space="preserve">  </w:t>
      </w:r>
      <w:r>
        <w:rPr>
          <w:rFonts w:ascii="Times New Roman" w:hAnsi="Times New Roman" w:cs="Times New Roman"/>
          <w:iCs/>
          <w:sz w:val="24"/>
          <w:szCs w:val="24"/>
        </w:rPr>
        <w:noBreakHyphen/>
        <w:t xml:space="preserve"> 1.</w:t>
      </w:r>
    </w:p>
    <w:p w14:paraId="56D99DF0" w14:textId="51B65310" w:rsidR="00A95593" w:rsidRDefault="00B573F1">
      <w:pPr>
        <w:rPr>
          <w:rFonts w:ascii="Times New Roman" w:hAnsi="Times New Roman" w:cs="Times New Roman"/>
          <w:iCs/>
          <w:sz w:val="24"/>
          <w:szCs w:val="24"/>
        </w:rPr>
      </w:pPr>
      <w:r>
        <w:rPr>
          <w:rFonts w:ascii="Times New Roman" w:hAnsi="Times New Roman" w:cs="Times New Roman"/>
          <w:iCs/>
          <w:sz w:val="24"/>
          <w:szCs w:val="24"/>
        </w:rPr>
        <w:t xml:space="preserve">and where ‘Annuity term remaining’ is calculated as total annuity term </w:t>
      </w:r>
      <w:proofErr w:type="gramStart"/>
      <w:r>
        <w:rPr>
          <w:rFonts w:ascii="Times New Roman" w:hAnsi="Times New Roman" w:cs="Times New Roman"/>
          <w:iCs/>
          <w:sz w:val="24"/>
          <w:szCs w:val="24"/>
        </w:rPr>
        <w:t>less</w:t>
      </w:r>
      <w:proofErr w:type="gramEnd"/>
      <w:r>
        <w:rPr>
          <w:rFonts w:ascii="Times New Roman" w:hAnsi="Times New Roman" w:cs="Times New Roman"/>
          <w:iCs/>
          <w:sz w:val="24"/>
          <w:szCs w:val="24"/>
        </w:rPr>
        <w:t xml:space="preserve"> number of payments made between start of term and 1 January 2022 inclusive (202</w:t>
      </w:r>
      <w:r w:rsidR="00F83CDD">
        <w:rPr>
          <w:rFonts w:ascii="Times New Roman" w:hAnsi="Times New Roman" w:cs="Times New Roman"/>
          <w:iCs/>
          <w:sz w:val="24"/>
          <w:szCs w:val="24"/>
        </w:rPr>
        <w:t>3</w:t>
      </w:r>
      <w:r>
        <w:rPr>
          <w:rFonts w:ascii="Times New Roman" w:hAnsi="Times New Roman" w:cs="Times New Roman"/>
          <w:iCs/>
          <w:sz w:val="24"/>
          <w:szCs w:val="24"/>
        </w:rPr>
        <w:t xml:space="preserve"> minus calendar year of the annuity start date), and the increase rate is either the current rate or 4% respectively</w:t>
      </w:r>
    </w:p>
    <w:p w14:paraId="758CE45D" w14:textId="77777777" w:rsidR="00A95593" w:rsidRDefault="00B573F1">
      <w:pPr>
        <w:rPr>
          <w:rFonts w:ascii="Times New Roman" w:hAnsi="Times New Roman" w:cs="Times New Roman"/>
          <w:b/>
          <w:sz w:val="24"/>
          <w:szCs w:val="24"/>
        </w:rPr>
      </w:pPr>
      <w:r>
        <w:rPr>
          <w:rFonts w:ascii="Times New Roman" w:hAnsi="Times New Roman" w:cs="Times New Roman"/>
          <w:i/>
          <w:sz w:val="24"/>
          <w:szCs w:val="24"/>
        </w:rPr>
        <w:t>Value of annuities before and after amendment.</w:t>
      </w:r>
    </w:p>
    <w:p w14:paraId="3921BE5E"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The value of the remaining annuity payments before amendment are calculated as:</w:t>
      </w:r>
    </w:p>
    <w:p w14:paraId="5E90FC48" w14:textId="3DD64C0D" w:rsidR="00A95593" w:rsidRDefault="00B573F1">
      <w:pPr>
        <w:ind w:left="720"/>
        <w:rPr>
          <w:rFonts w:ascii="Times New Roman" w:hAnsi="Times New Roman" w:cs="Times New Roman"/>
          <w:bCs/>
          <w:sz w:val="24"/>
          <w:szCs w:val="24"/>
        </w:rPr>
      </w:pPr>
      <w:r>
        <w:rPr>
          <w:rFonts w:ascii="Times New Roman" w:hAnsi="Times New Roman" w:cs="Times New Roman"/>
          <w:bCs/>
          <w:sz w:val="24"/>
          <w:szCs w:val="24"/>
        </w:rPr>
        <w:t xml:space="preserve">Individual annuitant’s annuity factor using current increases multiplied by their total annuity payment p.a. after the 1 January 2023 </w:t>
      </w:r>
      <w:r w:rsidR="00F83CDD">
        <w:rPr>
          <w:rFonts w:ascii="Times New Roman" w:hAnsi="Times New Roman" w:cs="Times New Roman"/>
          <w:bCs/>
          <w:sz w:val="24"/>
          <w:szCs w:val="24"/>
        </w:rPr>
        <w:t xml:space="preserve">increase </w:t>
      </w:r>
      <w:r>
        <w:rPr>
          <w:rFonts w:ascii="Times New Roman" w:hAnsi="Times New Roman" w:cs="Times New Roman"/>
          <w:bCs/>
          <w:sz w:val="24"/>
          <w:szCs w:val="24"/>
        </w:rPr>
        <w:t xml:space="preserve">has been applied at the current rate. </w:t>
      </w:r>
    </w:p>
    <w:p w14:paraId="7B2B31B7"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The value of the remaining annuity payments after amendment are calculated as:</w:t>
      </w:r>
    </w:p>
    <w:p w14:paraId="431F3856" w14:textId="2FB47D6B" w:rsidR="00A95593" w:rsidRDefault="00B573F1">
      <w:pPr>
        <w:pStyle w:val="ListParagraph"/>
        <w:numPr>
          <w:ilvl w:val="0"/>
          <w:numId w:val="10"/>
        </w:numPr>
        <w:rPr>
          <w:rFonts w:ascii="Times New Roman" w:hAnsi="Times New Roman" w:cs="Times New Roman"/>
          <w:bCs/>
          <w:sz w:val="24"/>
          <w:szCs w:val="24"/>
        </w:rPr>
      </w:pPr>
      <w:r>
        <w:rPr>
          <w:rFonts w:ascii="Times New Roman" w:hAnsi="Times New Roman" w:cs="Times New Roman"/>
          <w:bCs/>
          <w:sz w:val="24"/>
          <w:szCs w:val="24"/>
        </w:rPr>
        <w:t xml:space="preserve">Individual annuitant’s annuity factor using current increases multiplied by the proportion of the annuity payment </w:t>
      </w:r>
      <w:r w:rsidRPr="00B6663C">
        <w:rPr>
          <w:rFonts w:ascii="Times New Roman" w:hAnsi="Times New Roman" w:cs="Times New Roman"/>
          <w:bCs/>
          <w:sz w:val="24"/>
          <w:szCs w:val="24"/>
        </w:rPr>
        <w:t xml:space="preserve">unaffected </w:t>
      </w:r>
      <w:r>
        <w:rPr>
          <w:rFonts w:ascii="Times New Roman" w:hAnsi="Times New Roman" w:cs="Times New Roman"/>
          <w:bCs/>
          <w:sz w:val="24"/>
          <w:szCs w:val="24"/>
        </w:rPr>
        <w:t xml:space="preserve">by the amendment after the 1 January 2023 current increase has been applied. </w:t>
      </w:r>
    </w:p>
    <w:p w14:paraId="1FC102A7" w14:textId="77777777" w:rsidR="00A95593" w:rsidRDefault="00B573F1">
      <w:pPr>
        <w:ind w:left="360"/>
        <w:rPr>
          <w:rFonts w:ascii="Times New Roman" w:hAnsi="Times New Roman" w:cs="Times New Roman"/>
          <w:bCs/>
          <w:sz w:val="24"/>
          <w:szCs w:val="24"/>
        </w:rPr>
      </w:pPr>
      <w:r>
        <w:rPr>
          <w:rFonts w:ascii="Times New Roman" w:hAnsi="Times New Roman" w:cs="Times New Roman"/>
          <w:bCs/>
          <w:sz w:val="24"/>
          <w:szCs w:val="24"/>
        </w:rPr>
        <w:t xml:space="preserve">plus </w:t>
      </w:r>
    </w:p>
    <w:p w14:paraId="4A8F781D" w14:textId="3A3C4A83" w:rsidR="00A95593" w:rsidRDefault="00B573F1">
      <w:pPr>
        <w:pStyle w:val="ListParagraph"/>
        <w:numPr>
          <w:ilvl w:val="0"/>
          <w:numId w:val="10"/>
        </w:numPr>
        <w:rPr>
          <w:rFonts w:ascii="Times New Roman" w:hAnsi="Times New Roman" w:cs="Times New Roman"/>
          <w:bCs/>
          <w:sz w:val="24"/>
          <w:szCs w:val="24"/>
        </w:rPr>
      </w:pPr>
      <w:proofErr w:type="gramStart"/>
      <w:r>
        <w:rPr>
          <w:rFonts w:ascii="Times New Roman" w:hAnsi="Times New Roman" w:cs="Times New Roman"/>
          <w:bCs/>
          <w:sz w:val="24"/>
          <w:szCs w:val="24"/>
        </w:rPr>
        <w:t>Individuals</w:t>
      </w:r>
      <w:proofErr w:type="gramEnd"/>
      <w:r>
        <w:rPr>
          <w:rFonts w:ascii="Times New Roman" w:hAnsi="Times New Roman" w:cs="Times New Roman"/>
          <w:bCs/>
          <w:sz w:val="24"/>
          <w:szCs w:val="24"/>
        </w:rPr>
        <w:t xml:space="preserve"> annuitant’s annuity factor using amended 4% increases multiplied by the proportion of the annuity payment </w:t>
      </w:r>
      <w:r w:rsidRPr="00B6663C">
        <w:rPr>
          <w:rFonts w:ascii="Times New Roman" w:hAnsi="Times New Roman" w:cs="Times New Roman"/>
          <w:bCs/>
          <w:sz w:val="24"/>
          <w:szCs w:val="24"/>
        </w:rPr>
        <w:t xml:space="preserve">affected </w:t>
      </w:r>
      <w:r>
        <w:rPr>
          <w:rFonts w:ascii="Times New Roman" w:hAnsi="Times New Roman" w:cs="Times New Roman"/>
          <w:bCs/>
          <w:sz w:val="24"/>
          <w:szCs w:val="24"/>
        </w:rPr>
        <w:t xml:space="preserve">by the amendment after the 1 January 2023 amended increase has been applied. </w:t>
      </w:r>
    </w:p>
    <w:p w14:paraId="7CFFDA41" w14:textId="77777777" w:rsidR="00A95593" w:rsidRDefault="00B573F1">
      <w:pPr>
        <w:rPr>
          <w:rFonts w:ascii="Times New Roman" w:hAnsi="Times New Roman" w:cs="Times New Roman"/>
          <w:i/>
          <w:sz w:val="24"/>
          <w:szCs w:val="24"/>
        </w:rPr>
      </w:pPr>
      <w:r>
        <w:rPr>
          <w:rFonts w:ascii="Times New Roman" w:hAnsi="Times New Roman" w:cs="Times New Roman"/>
          <w:i/>
          <w:sz w:val="24"/>
          <w:szCs w:val="24"/>
        </w:rPr>
        <w:t>Application of CEO value method for checking that annuitants are not disadvantaged after amendment</w:t>
      </w:r>
    </w:p>
    <w:p w14:paraId="7E64FB20" w14:textId="4E991B26" w:rsidR="00A95593" w:rsidRDefault="00B573F1">
      <w:pPr>
        <w:rPr>
          <w:rFonts w:ascii="Times New Roman" w:hAnsi="Times New Roman" w:cs="Times New Roman"/>
          <w:iCs/>
          <w:sz w:val="24"/>
          <w:szCs w:val="24"/>
        </w:rPr>
      </w:pPr>
      <w:r>
        <w:rPr>
          <w:rFonts w:ascii="Times New Roman" w:hAnsi="Times New Roman" w:cs="Times New Roman"/>
          <w:iCs/>
          <w:sz w:val="24"/>
          <w:szCs w:val="24"/>
        </w:rPr>
        <w:t xml:space="preserve">For each annuitant, the value of the remaining annuity payments after amendment is compared to the value before amendment. If the value before amendment is greater, the annuitant is assumed to remain on their current payments and the value remains equal to the current value.  </w:t>
      </w:r>
    </w:p>
    <w:p w14:paraId="03030339" w14:textId="77777777" w:rsidR="00A95593" w:rsidRDefault="00B573F1">
      <w:pPr>
        <w:rPr>
          <w:rFonts w:ascii="Times New Roman" w:hAnsi="Times New Roman" w:cs="Times New Roman"/>
          <w:i/>
          <w:sz w:val="24"/>
          <w:szCs w:val="24"/>
        </w:rPr>
      </w:pPr>
      <w:r>
        <w:rPr>
          <w:rFonts w:ascii="Times New Roman" w:hAnsi="Times New Roman" w:cs="Times New Roman"/>
          <w:i/>
          <w:sz w:val="24"/>
          <w:szCs w:val="24"/>
        </w:rPr>
        <w:t>Increase in value of remaining annuity payments due to amendment</w:t>
      </w:r>
    </w:p>
    <w:p w14:paraId="259F5A48" w14:textId="77777777" w:rsidR="00A95593" w:rsidRDefault="00B573F1">
      <w:pPr>
        <w:rPr>
          <w:rFonts w:ascii="Times New Roman" w:hAnsi="Times New Roman" w:cs="Times New Roman"/>
          <w:iCs/>
          <w:sz w:val="24"/>
          <w:szCs w:val="24"/>
        </w:rPr>
      </w:pPr>
      <w:r>
        <w:rPr>
          <w:rFonts w:ascii="Times New Roman" w:hAnsi="Times New Roman" w:cs="Times New Roman"/>
          <w:iCs/>
          <w:sz w:val="24"/>
          <w:szCs w:val="24"/>
        </w:rPr>
        <w:t xml:space="preserve">The sum of the value of the remaining payments for all 100 annuitants before amendment is deducted from the sum of the value of the remaining payments for all 100 annuitants after the amendment and application of the value check. </w:t>
      </w:r>
    </w:p>
    <w:p w14:paraId="6D5734F4" w14:textId="16B71763" w:rsidR="00A95593" w:rsidRDefault="00B573F1">
      <w:pPr>
        <w:rPr>
          <w:rFonts w:ascii="Times New Roman" w:hAnsi="Times New Roman" w:cs="Times New Roman"/>
          <w:iCs/>
          <w:sz w:val="24"/>
          <w:szCs w:val="24"/>
        </w:rPr>
      </w:pPr>
      <w:r>
        <w:rPr>
          <w:rFonts w:ascii="Times New Roman" w:hAnsi="Times New Roman" w:cs="Times New Roman"/>
          <w:iCs/>
          <w:sz w:val="24"/>
          <w:szCs w:val="24"/>
        </w:rPr>
        <w:t xml:space="preserve">The same calculation is repeated using the sum of just annuitants with increases of 5% </w:t>
      </w:r>
      <w:r w:rsidR="00B6663C">
        <w:rPr>
          <w:rFonts w:ascii="Times New Roman" w:hAnsi="Times New Roman" w:cs="Times New Roman"/>
          <w:iCs/>
          <w:sz w:val="24"/>
          <w:szCs w:val="24"/>
        </w:rPr>
        <w:t xml:space="preserve">p.a. </w:t>
      </w:r>
      <w:r>
        <w:rPr>
          <w:rFonts w:ascii="Times New Roman" w:hAnsi="Times New Roman" w:cs="Times New Roman"/>
          <w:iCs/>
          <w:sz w:val="24"/>
          <w:szCs w:val="24"/>
        </w:rPr>
        <w:t>and just annuitants with increases of 3%</w:t>
      </w:r>
      <w:r w:rsidR="00B6663C">
        <w:rPr>
          <w:rFonts w:ascii="Times New Roman" w:hAnsi="Times New Roman" w:cs="Times New Roman"/>
          <w:iCs/>
          <w:sz w:val="24"/>
          <w:szCs w:val="24"/>
        </w:rPr>
        <w:t xml:space="preserve"> p.a</w:t>
      </w:r>
      <w:r>
        <w:rPr>
          <w:rFonts w:ascii="Times New Roman" w:hAnsi="Times New Roman" w:cs="Times New Roman"/>
          <w:iCs/>
          <w:sz w:val="24"/>
          <w:szCs w:val="24"/>
        </w:rPr>
        <w:t>.</w:t>
      </w:r>
    </w:p>
    <w:p w14:paraId="45975958" w14:textId="0908F2FB" w:rsidR="00A95593" w:rsidRDefault="00B573F1">
      <w:pPr>
        <w:rPr>
          <w:rFonts w:ascii="Times New Roman" w:hAnsi="Times New Roman" w:cs="Times New Roman"/>
          <w:b/>
          <w:bCs/>
          <w:i/>
          <w:sz w:val="24"/>
          <w:szCs w:val="24"/>
        </w:rPr>
      </w:pPr>
      <w:r>
        <w:rPr>
          <w:rFonts w:ascii="Times New Roman" w:hAnsi="Times New Roman" w:cs="Times New Roman"/>
          <w:b/>
          <w:bCs/>
          <w:i/>
          <w:sz w:val="24"/>
          <w:szCs w:val="24"/>
        </w:rPr>
        <w:t>Projection of annuity amount to the end of each policy's term before amendment</w:t>
      </w:r>
    </w:p>
    <w:p w14:paraId="5A4B639A" w14:textId="375E3BA2" w:rsidR="00A95593" w:rsidRDefault="00B573F1">
      <w:pPr>
        <w:rPr>
          <w:rFonts w:ascii="Times New Roman" w:hAnsi="Times New Roman" w:cs="Times New Roman"/>
          <w:iCs/>
          <w:sz w:val="24"/>
          <w:szCs w:val="24"/>
        </w:rPr>
      </w:pPr>
      <w:r>
        <w:rPr>
          <w:rFonts w:ascii="Times New Roman" w:hAnsi="Times New Roman" w:cs="Times New Roman"/>
          <w:iCs/>
          <w:sz w:val="24"/>
          <w:szCs w:val="24"/>
        </w:rPr>
        <w:lastRenderedPageBreak/>
        <w:t>The individual total annuity amount in payment projected to 1 January 2023 using current increases is multiplied by (1+ current increase rate) ^ (number of increases remaining from 1 January 2024 to end of term).</w:t>
      </w:r>
    </w:p>
    <w:p w14:paraId="63B6B490" w14:textId="77777777" w:rsidR="001731D6" w:rsidRDefault="001731D6">
      <w:pPr>
        <w:rPr>
          <w:rFonts w:ascii="Times New Roman" w:hAnsi="Times New Roman" w:cs="Times New Roman"/>
          <w:b/>
          <w:bCs/>
          <w:i/>
          <w:sz w:val="24"/>
          <w:szCs w:val="24"/>
        </w:rPr>
      </w:pPr>
    </w:p>
    <w:p w14:paraId="107BA316" w14:textId="77777777" w:rsidR="001731D6" w:rsidRDefault="001731D6">
      <w:pPr>
        <w:rPr>
          <w:rFonts w:ascii="Times New Roman" w:hAnsi="Times New Roman" w:cs="Times New Roman"/>
          <w:b/>
          <w:bCs/>
          <w:i/>
          <w:sz w:val="24"/>
          <w:szCs w:val="24"/>
        </w:rPr>
      </w:pPr>
    </w:p>
    <w:p w14:paraId="2768DA9F" w14:textId="7339EE66" w:rsidR="00A95593" w:rsidRDefault="00B573F1">
      <w:pPr>
        <w:rPr>
          <w:rFonts w:ascii="Times New Roman" w:hAnsi="Times New Roman" w:cs="Times New Roman"/>
          <w:b/>
          <w:bCs/>
          <w:i/>
          <w:sz w:val="24"/>
          <w:szCs w:val="24"/>
        </w:rPr>
      </w:pPr>
      <w:r>
        <w:rPr>
          <w:rFonts w:ascii="Times New Roman" w:hAnsi="Times New Roman" w:cs="Times New Roman"/>
          <w:b/>
          <w:bCs/>
          <w:i/>
          <w:sz w:val="24"/>
          <w:szCs w:val="24"/>
        </w:rPr>
        <w:t>Projection of annuity amount to the end of each policies term after amendment</w:t>
      </w:r>
    </w:p>
    <w:p w14:paraId="7C97D64E" w14:textId="47BBC53F" w:rsidR="00A95593" w:rsidRDefault="00B573F1">
      <w:pPr>
        <w:rPr>
          <w:rFonts w:ascii="Times New Roman" w:hAnsi="Times New Roman" w:cs="Times New Roman"/>
          <w:iCs/>
          <w:sz w:val="24"/>
          <w:szCs w:val="24"/>
        </w:rPr>
      </w:pPr>
      <w:r>
        <w:rPr>
          <w:rFonts w:ascii="Times New Roman" w:hAnsi="Times New Roman" w:cs="Times New Roman"/>
          <w:iCs/>
          <w:sz w:val="24"/>
          <w:szCs w:val="24"/>
        </w:rPr>
        <w:t>The unaffected proportion of each annuitant’s annuity amount in payment projected to 1 January 2023 calculated above is multiplied by (1+ current increase rate) ^ (number of increases remaining from 1 January 2024 to end of term).</w:t>
      </w:r>
    </w:p>
    <w:p w14:paraId="680578A7" w14:textId="098AD4C3" w:rsidR="00A95593" w:rsidRDefault="00B573F1">
      <w:pPr>
        <w:rPr>
          <w:rFonts w:ascii="Times New Roman" w:hAnsi="Times New Roman" w:cs="Times New Roman"/>
          <w:iCs/>
          <w:sz w:val="24"/>
          <w:szCs w:val="24"/>
        </w:rPr>
      </w:pPr>
      <w:r>
        <w:rPr>
          <w:rFonts w:ascii="Times New Roman" w:hAnsi="Times New Roman" w:cs="Times New Roman"/>
          <w:iCs/>
          <w:sz w:val="24"/>
          <w:szCs w:val="24"/>
        </w:rPr>
        <w:t xml:space="preserve">This was added to the affected proportion of each annuitant’s annuity amount in payment projected to 1 January 2023 calculated above multiplied by (1 + amended increase rate of 4% p.a.) ^ (number of increases remaining from 1 January 2024 to the end of the individual term).  </w:t>
      </w:r>
    </w:p>
    <w:p w14:paraId="34F2847F" w14:textId="77777777" w:rsidR="00A95593" w:rsidRDefault="00B573F1">
      <w:pPr>
        <w:rPr>
          <w:rFonts w:ascii="Times New Roman" w:hAnsi="Times New Roman" w:cs="Times New Roman"/>
          <w:iCs/>
          <w:sz w:val="24"/>
          <w:szCs w:val="24"/>
        </w:rPr>
      </w:pPr>
      <w:r>
        <w:rPr>
          <w:rFonts w:ascii="Times New Roman" w:hAnsi="Times New Roman" w:cs="Times New Roman"/>
          <w:iCs/>
          <w:sz w:val="24"/>
          <w:szCs w:val="24"/>
        </w:rPr>
        <w:t>If an annuitant was identified to remain on current payments because of the CEO value check then the annuity amount projected to the end of each policies term before amendment was taken instead of the above.</w:t>
      </w:r>
    </w:p>
    <w:p w14:paraId="56D1D035" w14:textId="2E10EC45" w:rsidR="00A95593" w:rsidRDefault="00B573F1">
      <w:pPr>
        <w:rPr>
          <w:rFonts w:ascii="Times New Roman" w:hAnsi="Times New Roman" w:cs="Times New Roman"/>
          <w:iCs/>
          <w:sz w:val="24"/>
          <w:szCs w:val="24"/>
        </w:rPr>
      </w:pPr>
      <w:r>
        <w:rPr>
          <w:rFonts w:ascii="Times New Roman" w:hAnsi="Times New Roman" w:cs="Times New Roman"/>
          <w:iCs/>
          <w:sz w:val="24"/>
          <w:szCs w:val="24"/>
        </w:rPr>
        <w:t>Tables were created to summarise the increase in the annuity amount at the end of each policy and also the proportion of annuity payment affected, split by term of policy remaining.</w:t>
      </w:r>
    </w:p>
    <w:p w14:paraId="4A2D5373" w14:textId="77777777" w:rsidR="00A95593" w:rsidRDefault="00B573F1">
      <w:pPr>
        <w:rPr>
          <w:rFonts w:ascii="Times New Roman" w:hAnsi="Times New Roman" w:cs="Times New Roman"/>
          <w:b/>
          <w:sz w:val="28"/>
          <w:szCs w:val="28"/>
        </w:rPr>
      </w:pPr>
      <w:r>
        <w:rPr>
          <w:rFonts w:ascii="Times New Roman" w:hAnsi="Times New Roman" w:cs="Times New Roman"/>
          <w:b/>
          <w:sz w:val="28"/>
          <w:szCs w:val="28"/>
        </w:rPr>
        <w:t>Results</w:t>
      </w:r>
    </w:p>
    <w:p w14:paraId="47E74695" w14:textId="77777777" w:rsidR="00A95593" w:rsidRDefault="00B573F1">
      <w:pPr>
        <w:rPr>
          <w:rFonts w:ascii="Times New Roman" w:hAnsi="Times New Roman" w:cs="Times New Roman"/>
          <w:bCs/>
          <w:sz w:val="24"/>
          <w:szCs w:val="24"/>
          <w:u w:val="single"/>
        </w:rPr>
      </w:pPr>
      <w:r>
        <w:rPr>
          <w:rFonts w:ascii="Times New Roman" w:hAnsi="Times New Roman" w:cs="Times New Roman"/>
          <w:bCs/>
          <w:sz w:val="24"/>
          <w:szCs w:val="24"/>
          <w:u w:val="single"/>
        </w:rPr>
        <w:t>Effect of the amendment on the value of annuities</w:t>
      </w:r>
    </w:p>
    <w:p w14:paraId="0E8B99E0"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 xml:space="preserve">Applying the amendments will result in a </w:t>
      </w:r>
      <w:proofErr w:type="gramStart"/>
      <w:r>
        <w:rPr>
          <w:rFonts w:ascii="Times New Roman" w:hAnsi="Times New Roman" w:cs="Times New Roman"/>
          <w:bCs/>
          <w:sz w:val="24"/>
          <w:szCs w:val="24"/>
        </w:rPr>
        <w:t>cost  to</w:t>
      </w:r>
      <w:proofErr w:type="gramEnd"/>
      <w:r>
        <w:rPr>
          <w:rFonts w:ascii="Times New Roman" w:hAnsi="Times New Roman" w:cs="Times New Roman"/>
          <w:bCs/>
          <w:sz w:val="24"/>
          <w:szCs w:val="24"/>
        </w:rPr>
        <w:t xml:space="preserve"> XYZ.  We have calculated the NPV of this cost to be $894,655 using the assumptions set out. </w:t>
      </w:r>
    </w:p>
    <w:p w14:paraId="1C9ACE64"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 xml:space="preserve">The impact of the amendments is greater the higher the proportion of an annuity is affected. </w:t>
      </w:r>
    </w:p>
    <w:p w14:paraId="79EC85A7"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 xml:space="preserve">The chart below shows the percentage increase in total value after amendment of all 100 annuities, just current 5% increasing annuities and just 3% increasing annuities. </w:t>
      </w:r>
    </w:p>
    <w:p w14:paraId="01D041C5" w14:textId="77777777" w:rsidR="00A95593" w:rsidRDefault="00B573F1">
      <w:pPr>
        <w:rPr>
          <w:rFonts w:ascii="Times New Roman" w:hAnsi="Times New Roman" w:cs="Times New Roman"/>
          <w:b/>
          <w:sz w:val="24"/>
          <w:szCs w:val="24"/>
        </w:rPr>
      </w:pPr>
      <w:r>
        <w:rPr>
          <w:noProof/>
        </w:rPr>
        <w:lastRenderedPageBreak/>
        <w:drawing>
          <wp:inline distT="0" distB="0" distL="0" distR="0" wp14:anchorId="60E673DB" wp14:editId="03F7959E">
            <wp:extent cx="5806440" cy="2491740"/>
            <wp:effectExtent l="0" t="0" r="3809" b="3809"/>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D77DDD6"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 xml:space="preserve">It can be seen that there is a 2.80% increase in the total value of the annuities over all 100 annuities.  This is because overall the 10% uplift on the part of the annuity affected increases the value of the annuity and roughly half of the current annuity amount has 5% increases and half 3% increases so on average the effect of the change to 4% increases on amended part of the annuity that is amended cancels out and has little effect on the value. </w:t>
      </w:r>
    </w:p>
    <w:p w14:paraId="6A862838"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 xml:space="preserve">It can be seen that the increase is less for the current 5% increasing annuities with a 0.95% increase in value compared to a higher 5.24% for the 3% increasing annuities.  </w:t>
      </w:r>
    </w:p>
    <w:p w14:paraId="37C1D625" w14:textId="5A44EC14" w:rsidR="00A95593" w:rsidRDefault="00B573F1">
      <w:pPr>
        <w:rPr>
          <w:rFonts w:ascii="Times New Roman" w:hAnsi="Times New Roman" w:cs="Times New Roman"/>
          <w:bCs/>
          <w:sz w:val="24"/>
          <w:szCs w:val="24"/>
        </w:rPr>
      </w:pPr>
      <w:r>
        <w:rPr>
          <w:rFonts w:ascii="Times New Roman" w:hAnsi="Times New Roman" w:cs="Times New Roman"/>
          <w:bCs/>
          <w:sz w:val="24"/>
          <w:szCs w:val="24"/>
        </w:rPr>
        <w:t xml:space="preserve">This can be explained by the fact that the current 3% increasing annuities are increased by both the uplift and the change in future increase rate from 3% to 4% on the proportion of the annuity that is affected. </w:t>
      </w:r>
      <w:proofErr w:type="gramStart"/>
      <w:r>
        <w:rPr>
          <w:rFonts w:ascii="Times New Roman" w:hAnsi="Times New Roman" w:cs="Times New Roman"/>
          <w:bCs/>
          <w:sz w:val="24"/>
          <w:szCs w:val="24"/>
        </w:rPr>
        <w:t>So</w:t>
      </w:r>
      <w:proofErr w:type="gramEnd"/>
      <w:r>
        <w:rPr>
          <w:rFonts w:ascii="Times New Roman" w:hAnsi="Times New Roman" w:cs="Times New Roman"/>
          <w:bCs/>
          <w:sz w:val="24"/>
          <w:szCs w:val="24"/>
        </w:rPr>
        <w:t xml:space="preserve"> the amendment increases the value of the annuity in both ways. </w:t>
      </w:r>
    </w:p>
    <w:p w14:paraId="22410F34"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 xml:space="preserve">For the current 5% increasing annuities the value of the annuities is increased by the uplift but reduced by the change in future increase rate from 5% to 4% on the proportion of the annuity that is affected.  These changes work in opposite directions with the 10% uplift in amount p.a. initially being the larger effect but over time the reduction to the increase rate of 1% p.a. will erode the effect of the uplift.  </w:t>
      </w:r>
    </w:p>
    <w:p w14:paraId="34F0F57D"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The cost of paying the remaining annuity payments for 5% annuities is slightly positive. This is because the annuities are not amended if the value of all remaining payments would be less than the original value.  This means that only current 5% increasing annuities with an increase in value will be impacted by the amendments (as the 10% uplift has not been fully cancelled out by the lower amended future increases).</w:t>
      </w:r>
    </w:p>
    <w:p w14:paraId="1B068DB6"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 xml:space="preserve">Three annuitants were affected by the value check, </w:t>
      </w:r>
      <w:proofErr w:type="gramStart"/>
      <w:r>
        <w:rPr>
          <w:rFonts w:ascii="Times New Roman" w:hAnsi="Times New Roman" w:cs="Times New Roman"/>
          <w:bCs/>
          <w:sz w:val="24"/>
          <w:szCs w:val="24"/>
        </w:rPr>
        <w:t>i.e.</w:t>
      </w:r>
      <w:proofErr w:type="gramEnd"/>
      <w:r>
        <w:rPr>
          <w:rFonts w:ascii="Times New Roman" w:hAnsi="Times New Roman" w:cs="Times New Roman"/>
          <w:bCs/>
          <w:sz w:val="24"/>
          <w:szCs w:val="24"/>
        </w:rPr>
        <w:t xml:space="preserve"> their annuities were not amended because the value of remaining payments was lower than the current value.  These were all current 5% annuitants with long terms remaining.  </w:t>
      </w:r>
      <w:proofErr w:type="gramStart"/>
      <w:r>
        <w:rPr>
          <w:rFonts w:ascii="Times New Roman" w:hAnsi="Times New Roman" w:cs="Times New Roman"/>
          <w:bCs/>
          <w:sz w:val="24"/>
          <w:szCs w:val="24"/>
        </w:rPr>
        <w:t>So</w:t>
      </w:r>
      <w:proofErr w:type="gramEnd"/>
      <w:r>
        <w:rPr>
          <w:rFonts w:ascii="Times New Roman" w:hAnsi="Times New Roman" w:cs="Times New Roman"/>
          <w:bCs/>
          <w:sz w:val="24"/>
          <w:szCs w:val="24"/>
        </w:rPr>
        <w:t xml:space="preserve"> the impact of the lower amended increase of 4% was greater than the amendment uplift. </w:t>
      </w:r>
    </w:p>
    <w:p w14:paraId="29529D97"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 xml:space="preserve">Some current 5% increase annuitants for whom the value check did not apply but with sufficiently long terms will eventually receive lower annuity payments per annum after the </w:t>
      </w:r>
      <w:r>
        <w:rPr>
          <w:rFonts w:ascii="Times New Roman" w:hAnsi="Times New Roman" w:cs="Times New Roman"/>
          <w:bCs/>
          <w:sz w:val="24"/>
          <w:szCs w:val="24"/>
        </w:rPr>
        <w:lastRenderedPageBreak/>
        <w:t xml:space="preserve">amendment because of the lower amended increases.  The value check does not apply to these annuitants because of lower weighting placed on later lower payments due to discounting. </w:t>
      </w:r>
    </w:p>
    <w:p w14:paraId="617473BC" w14:textId="77777777" w:rsidR="00A95593" w:rsidRDefault="00B573F1">
      <w:pPr>
        <w:rPr>
          <w:rFonts w:ascii="Times New Roman" w:hAnsi="Times New Roman" w:cs="Times New Roman"/>
          <w:bCs/>
          <w:i/>
          <w:iCs/>
          <w:sz w:val="24"/>
          <w:szCs w:val="24"/>
          <w:u w:val="single"/>
        </w:rPr>
      </w:pPr>
      <w:r>
        <w:rPr>
          <w:rFonts w:ascii="Times New Roman" w:hAnsi="Times New Roman" w:cs="Times New Roman"/>
          <w:bCs/>
          <w:i/>
          <w:iCs/>
          <w:sz w:val="24"/>
          <w:szCs w:val="24"/>
          <w:u w:val="single"/>
        </w:rPr>
        <w:t>Relationship between term of annuity remaining and fraction of annuity payments affected and on the percentage increase to annuity payments due to the change in legislation.</w:t>
      </w:r>
    </w:p>
    <w:p w14:paraId="4B88D0E2"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The charts below show, for each term of annuity remaining (in whole years</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p>
    <w:p w14:paraId="5AC242EB" w14:textId="77777777" w:rsidR="00A95593" w:rsidRDefault="00B573F1">
      <w:pPr>
        <w:pStyle w:val="ListParagraph"/>
        <w:numPr>
          <w:ilvl w:val="0"/>
          <w:numId w:val="6"/>
        </w:numPr>
        <w:rPr>
          <w:rFonts w:ascii="Times New Roman" w:hAnsi="Times New Roman" w:cs="Times New Roman"/>
          <w:bCs/>
          <w:sz w:val="24"/>
          <w:szCs w:val="24"/>
        </w:rPr>
      </w:pPr>
      <w:r>
        <w:rPr>
          <w:rFonts w:ascii="Times New Roman" w:hAnsi="Times New Roman" w:cs="Times New Roman"/>
          <w:bCs/>
          <w:sz w:val="24"/>
          <w:szCs w:val="24"/>
        </w:rPr>
        <w:t xml:space="preserve">the percentage increase in amount p.a. at the end of the term and </w:t>
      </w:r>
    </w:p>
    <w:p w14:paraId="698E22E3" w14:textId="77777777" w:rsidR="00A95593" w:rsidRDefault="00B573F1">
      <w:pPr>
        <w:pStyle w:val="ListParagraph"/>
        <w:numPr>
          <w:ilvl w:val="0"/>
          <w:numId w:val="6"/>
        </w:numPr>
        <w:rPr>
          <w:rFonts w:ascii="Times New Roman" w:hAnsi="Times New Roman" w:cs="Times New Roman"/>
          <w:b/>
          <w:sz w:val="24"/>
          <w:szCs w:val="24"/>
        </w:rPr>
      </w:pPr>
      <w:r>
        <w:rPr>
          <w:rFonts w:ascii="Times New Roman" w:hAnsi="Times New Roman" w:cs="Times New Roman"/>
          <w:bCs/>
          <w:sz w:val="24"/>
          <w:szCs w:val="24"/>
        </w:rPr>
        <w:t>proportion of payment affected (%) for each term.</w:t>
      </w:r>
    </w:p>
    <w:p w14:paraId="0CDD3F6D"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Charts are shown for just current 3% increasing annuities, just current 5% increasing annuities and all annuities.</w:t>
      </w:r>
    </w:p>
    <w:p w14:paraId="1ED6EDB9"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The following chart shows that for current 3% increasing annuities there is a strong direct relationship between the proportion of payment affected and the percentage increase in amount p.a. at end of term, the lines clearly move in the same direction.   It can be seen that, as the term remaining increases the two lines converge indicating that the relationship is stronger over time.</w:t>
      </w:r>
    </w:p>
    <w:p w14:paraId="34180863" w14:textId="1DB9E227" w:rsidR="00A95593" w:rsidRDefault="00F83CDD">
      <w:pPr>
        <w:rPr>
          <w:rFonts w:ascii="Times New Roman" w:hAnsi="Times New Roman" w:cs="Times New Roman"/>
          <w:b/>
          <w:sz w:val="24"/>
          <w:szCs w:val="24"/>
        </w:rPr>
      </w:pPr>
      <w:r>
        <w:rPr>
          <w:noProof/>
        </w:rPr>
        <w:drawing>
          <wp:inline distT="0" distB="0" distL="0" distR="0" wp14:anchorId="7F25BAC5" wp14:editId="2DD6D7BF">
            <wp:extent cx="5829300" cy="3656330"/>
            <wp:effectExtent l="0" t="0" r="0" b="1270"/>
            <wp:docPr id="5" name="Chart 5">
              <a:extLst xmlns:a="http://schemas.openxmlformats.org/drawingml/2006/main">
                <a:ext uri="{FF2B5EF4-FFF2-40B4-BE49-F238E27FC236}">
                  <a16:creationId xmlns:a16="http://schemas.microsoft.com/office/drawing/2014/main" id="{B1B535C7-33BD-4620-9F46-DF85A96103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906946F"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 xml:space="preserve">The following chart shows that for current 5% increasing annuities, at longer terms of annuity remaining, the percentage increase in amount p.a. at end of term is inversely related to the proportion of annuity payment affected by the change. This could be explained by the fact that the longer the annuity payments are projected the more the effect of the lower 4% p.a. increases builds up which will lower the percentage increase in amount p.a. creating the inverse relationship.  </w:t>
      </w:r>
    </w:p>
    <w:p w14:paraId="2C793154" w14:textId="77777777" w:rsidR="00A95593" w:rsidRDefault="00B573F1">
      <w:pPr>
        <w:rPr>
          <w:rFonts w:ascii="Times New Roman" w:hAnsi="Times New Roman" w:cs="Times New Roman"/>
          <w:b/>
          <w:sz w:val="24"/>
          <w:szCs w:val="24"/>
        </w:rPr>
      </w:pPr>
      <w:r>
        <w:rPr>
          <w:rFonts w:ascii="Times New Roman" w:hAnsi="Times New Roman" w:cs="Times New Roman"/>
          <w:bCs/>
          <w:sz w:val="24"/>
          <w:szCs w:val="24"/>
        </w:rPr>
        <w:lastRenderedPageBreak/>
        <w:t xml:space="preserve">At shorter durations the percentage increase exhibits a downward sloping line which is not very sensitive to the proportion of annuity payment affected. This could be explained by the fact that at shorter durations the effect of the lower 4% p.a. increases has less time to build up and the 10% uplift has a bigger impact.  </w:t>
      </w:r>
    </w:p>
    <w:p w14:paraId="40663689" w14:textId="6FA37C34" w:rsidR="00A95593" w:rsidRDefault="00F83CDD">
      <w:pPr>
        <w:rPr>
          <w:rFonts w:ascii="Times New Roman" w:hAnsi="Times New Roman" w:cs="Times New Roman"/>
          <w:b/>
          <w:sz w:val="24"/>
          <w:szCs w:val="24"/>
        </w:rPr>
      </w:pPr>
      <w:r>
        <w:rPr>
          <w:noProof/>
        </w:rPr>
        <w:drawing>
          <wp:inline distT="0" distB="0" distL="0" distR="0" wp14:anchorId="6DE0BED0" wp14:editId="1666DE77">
            <wp:extent cx="5911850" cy="3574415"/>
            <wp:effectExtent l="0" t="0" r="12700" b="6985"/>
            <wp:docPr id="6" name="Chart 6">
              <a:extLst xmlns:a="http://schemas.openxmlformats.org/drawingml/2006/main">
                <a:ext uri="{FF2B5EF4-FFF2-40B4-BE49-F238E27FC236}">
                  <a16:creationId xmlns:a16="http://schemas.microsoft.com/office/drawing/2014/main" id="{45A97D38-EAD3-4A32-9528-B2E0F2FD3D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C470980"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 xml:space="preserve">The following chart shows a combination of all current 5% and current 3% annuities. It can be seen that at shorter terms of annuity remaining (until about 15 years term remaining) the proportion of the current payment amount p.a. affected and percentage increase in the amount p.a. at the end of term are quite closely related but at longer terms remaining the inverse relationship displayed in the current 5% chart above becomes more apparent. This is because the reduction to the annuity </w:t>
      </w:r>
      <w:proofErr w:type="gramStart"/>
      <w:r>
        <w:rPr>
          <w:rFonts w:ascii="Times New Roman" w:hAnsi="Times New Roman" w:cs="Times New Roman"/>
          <w:bCs/>
          <w:sz w:val="24"/>
          <w:szCs w:val="24"/>
        </w:rPr>
        <w:t>increase</w:t>
      </w:r>
      <w:proofErr w:type="gramEnd"/>
      <w:r>
        <w:rPr>
          <w:rFonts w:ascii="Times New Roman" w:hAnsi="Times New Roman" w:cs="Times New Roman"/>
          <w:bCs/>
          <w:sz w:val="24"/>
          <w:szCs w:val="24"/>
        </w:rPr>
        <w:t xml:space="preserve"> from 5% to 4% on the amended part has more time to build up and have a larger effect at longer terms. </w:t>
      </w:r>
    </w:p>
    <w:p w14:paraId="3C444446" w14:textId="6EF51C21" w:rsidR="00A95593" w:rsidRDefault="00F83CDD">
      <w:pPr>
        <w:rPr>
          <w:rFonts w:ascii="Times New Roman" w:hAnsi="Times New Roman" w:cs="Times New Roman"/>
          <w:bCs/>
          <w:sz w:val="24"/>
          <w:szCs w:val="24"/>
        </w:rPr>
      </w:pPr>
      <w:r>
        <w:rPr>
          <w:noProof/>
        </w:rPr>
        <w:lastRenderedPageBreak/>
        <w:drawing>
          <wp:inline distT="0" distB="0" distL="0" distR="0" wp14:anchorId="4C452037" wp14:editId="1A7E5D54">
            <wp:extent cx="5930900" cy="3540125"/>
            <wp:effectExtent l="0" t="0" r="12700" b="3175"/>
            <wp:docPr id="7" name="Chart 7">
              <a:extLst xmlns:a="http://schemas.openxmlformats.org/drawingml/2006/main">
                <a:ext uri="{FF2B5EF4-FFF2-40B4-BE49-F238E27FC236}">
                  <a16:creationId xmlns:a16="http://schemas.microsoft.com/office/drawing/2014/main" id="{1A3BEC10-F289-4FC1-B0A1-F34BBDDE22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B27CDDA" w14:textId="77777777" w:rsidR="001731D6" w:rsidRDefault="001731D6">
      <w:pPr>
        <w:rPr>
          <w:rFonts w:ascii="Times New Roman" w:hAnsi="Times New Roman" w:cs="Times New Roman"/>
          <w:b/>
          <w:sz w:val="24"/>
          <w:szCs w:val="24"/>
        </w:rPr>
      </w:pPr>
    </w:p>
    <w:p w14:paraId="4E0C34B5" w14:textId="77777777" w:rsidR="001731D6" w:rsidRDefault="001731D6">
      <w:pPr>
        <w:rPr>
          <w:rFonts w:ascii="Times New Roman" w:hAnsi="Times New Roman" w:cs="Times New Roman"/>
          <w:b/>
          <w:sz w:val="24"/>
          <w:szCs w:val="24"/>
        </w:rPr>
      </w:pPr>
    </w:p>
    <w:p w14:paraId="21FC03EE" w14:textId="1110D6C6" w:rsidR="00A95593" w:rsidRDefault="00B573F1">
      <w:pPr>
        <w:rPr>
          <w:rFonts w:ascii="Times New Roman" w:hAnsi="Times New Roman" w:cs="Times New Roman"/>
          <w:b/>
          <w:sz w:val="24"/>
          <w:szCs w:val="24"/>
        </w:rPr>
      </w:pPr>
      <w:r>
        <w:rPr>
          <w:rFonts w:ascii="Times New Roman" w:hAnsi="Times New Roman" w:cs="Times New Roman"/>
          <w:b/>
          <w:sz w:val="24"/>
          <w:szCs w:val="24"/>
        </w:rPr>
        <w:t>Conclusions</w:t>
      </w:r>
    </w:p>
    <w:p w14:paraId="5C2F7469"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 xml:space="preserve">For all current 3% increasing and most current 5% increasing annuitants the amendments increase the overall value of the remaining annuity payments. This will be a cost to XYZ. </w:t>
      </w:r>
    </w:p>
    <w:p w14:paraId="2391CDC4" w14:textId="2121B361" w:rsidR="00A95593" w:rsidRDefault="00B573F1">
      <w:pPr>
        <w:rPr>
          <w:rFonts w:ascii="Times New Roman" w:hAnsi="Times New Roman" w:cs="Times New Roman"/>
          <w:bCs/>
          <w:sz w:val="24"/>
          <w:szCs w:val="24"/>
        </w:rPr>
      </w:pPr>
      <w:r>
        <w:rPr>
          <w:rFonts w:ascii="Times New Roman" w:hAnsi="Times New Roman" w:cs="Times New Roman"/>
          <w:bCs/>
          <w:sz w:val="24"/>
          <w:szCs w:val="24"/>
        </w:rPr>
        <w:t>The increase in value for the current 5% p.a. increasing annuities is lower because of the effect of lower annuity increases cancelling out the amended uplift applied over time.</w:t>
      </w:r>
    </w:p>
    <w:p w14:paraId="2B8FA814"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 xml:space="preserve">Some 5% annuitants with sufficiently long terms will eventually receive lower annuity payments per annum after the amendment because of the lower amended increases.  It is therefore important to consider the impact that providing lower annuity payments than those currently projected will have on annuity </w:t>
      </w:r>
      <w:proofErr w:type="gramStart"/>
      <w:r>
        <w:rPr>
          <w:rFonts w:ascii="Times New Roman" w:hAnsi="Times New Roman" w:cs="Times New Roman"/>
          <w:bCs/>
          <w:sz w:val="24"/>
          <w:szCs w:val="24"/>
        </w:rPr>
        <w:t>holders</w:t>
      </w:r>
      <w:proofErr w:type="gramEnd"/>
      <w:r>
        <w:rPr>
          <w:rFonts w:ascii="Times New Roman" w:hAnsi="Times New Roman" w:cs="Times New Roman"/>
          <w:bCs/>
          <w:sz w:val="24"/>
          <w:szCs w:val="24"/>
        </w:rPr>
        <w:t xml:space="preserve"> satisfaction, income requirements and meeting other annuity provider regulations. </w:t>
      </w:r>
    </w:p>
    <w:p w14:paraId="412FD2DE" w14:textId="77777777" w:rsidR="00A95593" w:rsidRDefault="00B573F1">
      <w:pPr>
        <w:rPr>
          <w:rFonts w:ascii="Times New Roman" w:hAnsi="Times New Roman" w:cs="Times New Roman"/>
          <w:bCs/>
          <w:sz w:val="24"/>
          <w:szCs w:val="24"/>
        </w:rPr>
      </w:pPr>
      <w:r>
        <w:rPr>
          <w:rFonts w:ascii="Times New Roman" w:hAnsi="Times New Roman" w:cs="Times New Roman"/>
          <w:bCs/>
          <w:sz w:val="24"/>
          <w:szCs w:val="24"/>
        </w:rPr>
        <w:t xml:space="preserve">The values calculated and the members affected by the value check would change if a different discount rate was assumed. </w:t>
      </w:r>
    </w:p>
    <w:p w14:paraId="62B9730D" w14:textId="77777777" w:rsidR="00A95593" w:rsidRDefault="00B573F1">
      <w:pPr>
        <w:rPr>
          <w:rFonts w:ascii="Times New Roman" w:hAnsi="Times New Roman" w:cs="Times New Roman"/>
          <w:b/>
          <w:sz w:val="24"/>
          <w:szCs w:val="24"/>
        </w:rPr>
      </w:pPr>
      <w:r>
        <w:rPr>
          <w:rFonts w:ascii="Times New Roman" w:hAnsi="Times New Roman" w:cs="Times New Roman"/>
          <w:b/>
          <w:sz w:val="24"/>
          <w:szCs w:val="24"/>
        </w:rPr>
        <w:t>Next steps</w:t>
      </w:r>
    </w:p>
    <w:p w14:paraId="7F7FA2D8" w14:textId="77777777" w:rsidR="00A95593" w:rsidRDefault="00B573F1">
      <w:pPr>
        <w:pStyle w:val="ListParagraph"/>
        <w:numPr>
          <w:ilvl w:val="0"/>
          <w:numId w:val="12"/>
        </w:numPr>
        <w:rPr>
          <w:rFonts w:ascii="Times New Roman" w:hAnsi="Times New Roman" w:cs="Times New Roman"/>
          <w:bCs/>
          <w:sz w:val="24"/>
          <w:szCs w:val="24"/>
        </w:rPr>
      </w:pPr>
      <w:r>
        <w:rPr>
          <w:rFonts w:ascii="Times New Roman" w:hAnsi="Times New Roman" w:cs="Times New Roman"/>
          <w:bCs/>
          <w:sz w:val="24"/>
          <w:szCs w:val="24"/>
        </w:rPr>
        <w:t xml:space="preserve">Validate the data, </w:t>
      </w:r>
      <w:proofErr w:type="gramStart"/>
      <w:r>
        <w:rPr>
          <w:rFonts w:ascii="Times New Roman" w:hAnsi="Times New Roman" w:cs="Times New Roman"/>
          <w:bCs/>
          <w:sz w:val="24"/>
          <w:szCs w:val="24"/>
        </w:rPr>
        <w:t>particularly;</w:t>
      </w:r>
      <w:proofErr w:type="gramEnd"/>
    </w:p>
    <w:p w14:paraId="5E97329A" w14:textId="77777777" w:rsidR="00A95593" w:rsidRDefault="00B573F1">
      <w:pPr>
        <w:pStyle w:val="ListParagraph"/>
        <w:rPr>
          <w:rFonts w:ascii="Times New Roman" w:hAnsi="Times New Roman" w:cs="Times New Roman"/>
          <w:bCs/>
          <w:sz w:val="24"/>
          <w:szCs w:val="24"/>
        </w:rPr>
      </w:pPr>
      <w:r>
        <w:rPr>
          <w:rFonts w:ascii="Times New Roman" w:hAnsi="Times New Roman" w:cs="Times New Roman"/>
          <w:bCs/>
          <w:sz w:val="24"/>
          <w:szCs w:val="24"/>
        </w:rPr>
        <w:t>- the fraction of the annuities affected by the new legislation and</w:t>
      </w:r>
    </w:p>
    <w:p w14:paraId="697D1AC7" w14:textId="77777777" w:rsidR="00A95593" w:rsidRDefault="00B573F1">
      <w:pPr>
        <w:pStyle w:val="ListParagraph"/>
        <w:rPr>
          <w:rFonts w:ascii="Times New Roman" w:hAnsi="Times New Roman" w:cs="Times New Roman"/>
          <w:bCs/>
          <w:sz w:val="24"/>
          <w:szCs w:val="24"/>
        </w:rPr>
      </w:pPr>
      <w:r>
        <w:rPr>
          <w:rFonts w:ascii="Times New Roman" w:hAnsi="Times New Roman" w:cs="Times New Roman"/>
          <w:bCs/>
          <w:sz w:val="24"/>
          <w:szCs w:val="24"/>
        </w:rPr>
        <w:t xml:space="preserve">- the new legislation details including the start date of the amendment, the 4% annuity increase p.a. and the 10% uplift. </w:t>
      </w:r>
    </w:p>
    <w:p w14:paraId="7F794684" w14:textId="77777777" w:rsidR="00A95593" w:rsidRDefault="00B573F1">
      <w:pPr>
        <w:pStyle w:val="ListParagraph"/>
        <w:numPr>
          <w:ilvl w:val="0"/>
          <w:numId w:val="12"/>
        </w:numPr>
        <w:rPr>
          <w:rFonts w:ascii="Times New Roman" w:hAnsi="Times New Roman" w:cs="Times New Roman"/>
          <w:bCs/>
          <w:sz w:val="24"/>
          <w:szCs w:val="24"/>
        </w:rPr>
      </w:pPr>
      <w:r>
        <w:rPr>
          <w:rFonts w:ascii="Times New Roman" w:hAnsi="Times New Roman" w:cs="Times New Roman"/>
          <w:bCs/>
          <w:sz w:val="24"/>
          <w:szCs w:val="24"/>
        </w:rPr>
        <w:t>Confirm that the discount rate assumed is appropriate.</w:t>
      </w:r>
    </w:p>
    <w:p w14:paraId="6A932A51" w14:textId="77777777" w:rsidR="00A95593" w:rsidRDefault="00B573F1">
      <w:pPr>
        <w:pStyle w:val="ListParagraph"/>
        <w:numPr>
          <w:ilvl w:val="0"/>
          <w:numId w:val="12"/>
        </w:numPr>
        <w:rPr>
          <w:rFonts w:ascii="Times New Roman" w:hAnsi="Times New Roman" w:cs="Times New Roman"/>
          <w:bCs/>
          <w:sz w:val="24"/>
          <w:szCs w:val="24"/>
        </w:rPr>
      </w:pPr>
      <w:r>
        <w:rPr>
          <w:rFonts w:ascii="Times New Roman" w:hAnsi="Times New Roman" w:cs="Times New Roman"/>
          <w:bCs/>
          <w:sz w:val="24"/>
          <w:szCs w:val="24"/>
        </w:rPr>
        <w:lastRenderedPageBreak/>
        <w:t>Confirm that the amendments should not be backdated.</w:t>
      </w:r>
    </w:p>
    <w:p w14:paraId="2ACB42B7" w14:textId="77777777" w:rsidR="00A95593" w:rsidRDefault="00B573F1">
      <w:pPr>
        <w:pStyle w:val="ListParagraph"/>
        <w:numPr>
          <w:ilvl w:val="0"/>
          <w:numId w:val="12"/>
        </w:numPr>
        <w:rPr>
          <w:rFonts w:ascii="Times New Roman" w:hAnsi="Times New Roman" w:cs="Times New Roman"/>
          <w:bCs/>
          <w:sz w:val="24"/>
          <w:szCs w:val="24"/>
        </w:rPr>
      </w:pPr>
      <w:r>
        <w:rPr>
          <w:rFonts w:ascii="Times New Roman" w:hAnsi="Times New Roman" w:cs="Times New Roman"/>
          <w:bCs/>
          <w:sz w:val="24"/>
          <w:szCs w:val="24"/>
        </w:rPr>
        <w:t xml:space="preserve">Confirm that there are no different maturity amounts paid at the end of the term. </w:t>
      </w:r>
    </w:p>
    <w:p w14:paraId="52CB1F6D" w14:textId="77777777" w:rsidR="00A95593" w:rsidRDefault="00B573F1">
      <w:pPr>
        <w:pStyle w:val="ListParagraph"/>
        <w:numPr>
          <w:ilvl w:val="0"/>
          <w:numId w:val="12"/>
        </w:numPr>
        <w:rPr>
          <w:rFonts w:ascii="Times New Roman" w:hAnsi="Times New Roman" w:cs="Times New Roman"/>
          <w:bCs/>
          <w:sz w:val="24"/>
          <w:szCs w:val="24"/>
        </w:rPr>
      </w:pPr>
      <w:r>
        <w:rPr>
          <w:rFonts w:ascii="Times New Roman" w:hAnsi="Times New Roman" w:cs="Times New Roman"/>
          <w:bCs/>
          <w:sz w:val="24"/>
          <w:szCs w:val="24"/>
        </w:rPr>
        <w:t xml:space="preserve">Check that no other annuitants would be affected. </w:t>
      </w:r>
    </w:p>
    <w:p w14:paraId="5581743C" w14:textId="77777777" w:rsidR="00A95593" w:rsidRDefault="00B573F1">
      <w:pPr>
        <w:pStyle w:val="ListParagraph"/>
        <w:numPr>
          <w:ilvl w:val="0"/>
          <w:numId w:val="12"/>
        </w:numPr>
        <w:rPr>
          <w:rFonts w:ascii="Times New Roman" w:hAnsi="Times New Roman" w:cs="Times New Roman"/>
          <w:b/>
          <w:sz w:val="24"/>
          <w:szCs w:val="24"/>
        </w:rPr>
      </w:pPr>
      <w:r>
        <w:rPr>
          <w:rFonts w:ascii="Times New Roman" w:hAnsi="Times New Roman" w:cs="Times New Roman"/>
          <w:bCs/>
          <w:sz w:val="24"/>
          <w:szCs w:val="24"/>
        </w:rPr>
        <w:t xml:space="preserve">Consider if the method of checking whether annuitants are better off after amendment is fair and reasonable. For example, for annuitants with current 5% increases the overall value of their annuity may increase so XYZ Insurance apply the amendment to them, but there could be a point in future where they are receiving a lower amount p.a. than retaining, without adjustment, the original annuity. </w:t>
      </w:r>
    </w:p>
    <w:p w14:paraId="62550141" w14:textId="1601CF0C" w:rsidR="00A95593" w:rsidRDefault="00B573F1">
      <w:pPr>
        <w:pStyle w:val="ListParagraph"/>
        <w:numPr>
          <w:ilvl w:val="0"/>
          <w:numId w:val="12"/>
        </w:numPr>
        <w:rPr>
          <w:rFonts w:ascii="Times New Roman" w:hAnsi="Times New Roman" w:cs="Times New Roman"/>
          <w:b/>
          <w:sz w:val="24"/>
          <w:szCs w:val="24"/>
        </w:rPr>
      </w:pPr>
      <w:r>
        <w:rPr>
          <w:rFonts w:ascii="Times New Roman" w:hAnsi="Times New Roman" w:cs="Times New Roman"/>
          <w:bCs/>
          <w:sz w:val="24"/>
          <w:szCs w:val="24"/>
        </w:rPr>
        <w:t xml:space="preserve">Carry out further illustrations for current 5% increasing annuitants for the CEO to consider. For example, the cost of providing the better of amended or original payments for each future year.  </w:t>
      </w:r>
    </w:p>
    <w:p w14:paraId="721E042F" w14:textId="77777777" w:rsidR="00A95593" w:rsidRDefault="00B573F1">
      <w:pPr>
        <w:pStyle w:val="ListParagraph"/>
        <w:numPr>
          <w:ilvl w:val="0"/>
          <w:numId w:val="12"/>
        </w:numPr>
        <w:rPr>
          <w:rFonts w:ascii="Times New Roman" w:hAnsi="Times New Roman" w:cs="Times New Roman"/>
          <w:b/>
          <w:sz w:val="24"/>
          <w:szCs w:val="24"/>
        </w:rPr>
      </w:pPr>
      <w:r>
        <w:rPr>
          <w:rFonts w:ascii="Times New Roman" w:hAnsi="Times New Roman" w:cs="Times New Roman"/>
          <w:bCs/>
          <w:sz w:val="24"/>
          <w:szCs w:val="24"/>
        </w:rPr>
        <w:t xml:space="preserve">Consider what communication the annuitants should receive to help them understand the impact. For example, illustrating the difference in value and the date that current 5% increasing annuitants would start receiving a lower annuity amount p.a. than they are currently on. </w:t>
      </w:r>
    </w:p>
    <w:p w14:paraId="04937CA8" w14:textId="77777777" w:rsidR="00A95593" w:rsidRDefault="00B573F1">
      <w:pPr>
        <w:pStyle w:val="ListParagraph"/>
        <w:numPr>
          <w:ilvl w:val="0"/>
          <w:numId w:val="12"/>
        </w:numPr>
        <w:rPr>
          <w:rFonts w:ascii="Times New Roman" w:hAnsi="Times New Roman" w:cs="Times New Roman"/>
          <w:b/>
          <w:sz w:val="24"/>
          <w:szCs w:val="24"/>
        </w:rPr>
      </w:pPr>
      <w:r>
        <w:rPr>
          <w:rFonts w:ascii="Times New Roman" w:hAnsi="Times New Roman" w:cs="Times New Roman"/>
          <w:bCs/>
          <w:sz w:val="24"/>
          <w:szCs w:val="24"/>
        </w:rPr>
        <w:t xml:space="preserve">Consider whether policy documents will need to be amended. </w:t>
      </w:r>
    </w:p>
    <w:p w14:paraId="2921FCFE" w14:textId="77777777" w:rsidR="00A95593" w:rsidRDefault="00B573F1">
      <w:pPr>
        <w:pStyle w:val="ListParagraph"/>
        <w:numPr>
          <w:ilvl w:val="0"/>
          <w:numId w:val="12"/>
        </w:numPr>
        <w:rPr>
          <w:rFonts w:ascii="Times New Roman" w:hAnsi="Times New Roman" w:cs="Times New Roman"/>
          <w:b/>
          <w:sz w:val="24"/>
          <w:szCs w:val="24"/>
        </w:rPr>
      </w:pPr>
      <w:r>
        <w:rPr>
          <w:rFonts w:ascii="Times New Roman" w:hAnsi="Times New Roman" w:cs="Times New Roman"/>
          <w:bCs/>
          <w:sz w:val="24"/>
          <w:szCs w:val="24"/>
        </w:rPr>
        <w:t xml:space="preserve">Check that the increase in value of the remaining annuity payments will not cause problems with XYZ Insurance’s future cashflow planning or investments. </w:t>
      </w:r>
    </w:p>
    <w:p w14:paraId="17F36C73" w14:textId="77777777" w:rsidR="00A95593" w:rsidRDefault="00B573F1">
      <w:pPr>
        <w:pStyle w:val="ListParagraph"/>
        <w:numPr>
          <w:ilvl w:val="0"/>
          <w:numId w:val="12"/>
        </w:numPr>
        <w:rPr>
          <w:rFonts w:ascii="Times New Roman" w:hAnsi="Times New Roman" w:cs="Times New Roman"/>
          <w:bCs/>
          <w:sz w:val="24"/>
          <w:szCs w:val="24"/>
        </w:rPr>
      </w:pPr>
      <w:r>
        <w:rPr>
          <w:rFonts w:ascii="Times New Roman" w:hAnsi="Times New Roman" w:cs="Times New Roman"/>
          <w:bCs/>
          <w:sz w:val="24"/>
          <w:szCs w:val="24"/>
        </w:rPr>
        <w:t xml:space="preserve">Investigate the impact on public relations of implementing the changes in the method suggested by the CEO. </w:t>
      </w:r>
    </w:p>
    <w:p w14:paraId="709438E3" w14:textId="77777777" w:rsidR="00A95593" w:rsidRDefault="00B573F1">
      <w:pPr>
        <w:pStyle w:val="ListParagraph"/>
        <w:numPr>
          <w:ilvl w:val="0"/>
          <w:numId w:val="12"/>
        </w:numPr>
        <w:rPr>
          <w:rFonts w:ascii="Times New Roman" w:hAnsi="Times New Roman" w:cs="Times New Roman"/>
          <w:bCs/>
          <w:sz w:val="24"/>
          <w:szCs w:val="24"/>
        </w:rPr>
      </w:pPr>
      <w:r>
        <w:rPr>
          <w:rFonts w:ascii="Times New Roman" w:hAnsi="Times New Roman" w:cs="Times New Roman"/>
          <w:bCs/>
          <w:sz w:val="24"/>
          <w:szCs w:val="24"/>
        </w:rPr>
        <w:t xml:space="preserve">Consider the impact of additional payments on any tax paid by annuitants on annuity income       </w:t>
      </w:r>
    </w:p>
    <w:p w14:paraId="015756C1" w14:textId="5E70C7D0" w:rsidR="00A95593" w:rsidRDefault="00B573F1">
      <w:pPr>
        <w:pStyle w:val="ListParagraph"/>
        <w:numPr>
          <w:ilvl w:val="0"/>
          <w:numId w:val="12"/>
        </w:numPr>
        <w:rPr>
          <w:rFonts w:ascii="Times New Roman" w:hAnsi="Times New Roman" w:cs="Times New Roman"/>
          <w:bCs/>
          <w:sz w:val="24"/>
          <w:szCs w:val="24"/>
        </w:rPr>
      </w:pPr>
      <w:r>
        <w:rPr>
          <w:rFonts w:ascii="Times New Roman" w:hAnsi="Times New Roman" w:cs="Times New Roman"/>
          <w:bCs/>
          <w:sz w:val="24"/>
          <w:szCs w:val="24"/>
        </w:rPr>
        <w:t>Research what competitors are doing and what the industry standard approach is to the legislation change</w:t>
      </w:r>
      <w:r>
        <w:rPr>
          <w:rFonts w:ascii="Times New Roman" w:hAnsi="Times New Roman" w:cs="Times New Roman"/>
          <w:bCs/>
          <w:sz w:val="24"/>
          <w:szCs w:val="24"/>
        </w:rPr>
        <w:tab/>
      </w:r>
    </w:p>
    <w:p w14:paraId="7DABEE6B" w14:textId="43F1A28E" w:rsidR="00A95593" w:rsidRDefault="00B573F1">
      <w:pPr>
        <w:pStyle w:val="ListParagraph"/>
        <w:numPr>
          <w:ilvl w:val="0"/>
          <w:numId w:val="12"/>
        </w:numPr>
        <w:rPr>
          <w:rFonts w:ascii="Times New Roman" w:hAnsi="Times New Roman" w:cs="Times New Roman"/>
          <w:bCs/>
          <w:sz w:val="24"/>
          <w:szCs w:val="24"/>
        </w:rPr>
      </w:pPr>
      <w:r>
        <w:rPr>
          <w:rFonts w:ascii="Times New Roman" w:hAnsi="Times New Roman" w:cs="Times New Roman"/>
          <w:bCs/>
          <w:sz w:val="24"/>
          <w:szCs w:val="24"/>
        </w:rPr>
        <w:t xml:space="preserve">Obtain a peer review of the work performed  </w:t>
      </w:r>
    </w:p>
    <w:p w14:paraId="47E68957" w14:textId="77777777" w:rsidR="00A95593" w:rsidRDefault="00A95593">
      <w:pPr>
        <w:pStyle w:val="ListParagraph"/>
        <w:ind w:left="360"/>
        <w:contextualSpacing w:val="0"/>
        <w:rPr>
          <w:rFonts w:ascii="Times New Roman" w:hAnsi="Times New Roman" w:cs="Times New Roman"/>
          <w:b/>
          <w:sz w:val="24"/>
          <w:szCs w:val="24"/>
          <w:highlight w:val="yellow"/>
          <w:lang w:val="en-US"/>
        </w:rPr>
      </w:pPr>
    </w:p>
    <w:sectPr w:rsidR="00A95593">
      <w:footerReference w:type="default" r:id="rId11"/>
      <w:pgSz w:w="12240" w:h="15840"/>
      <w:pgMar w:top="1440"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1B533" w14:textId="77777777" w:rsidR="001F08E7" w:rsidRDefault="001F08E7">
      <w:pPr>
        <w:spacing w:after="0" w:line="240" w:lineRule="auto"/>
      </w:pPr>
      <w:r>
        <w:separator/>
      </w:r>
    </w:p>
  </w:endnote>
  <w:endnote w:type="continuationSeparator" w:id="0">
    <w:p w14:paraId="16CAE75B" w14:textId="77777777" w:rsidR="001F08E7" w:rsidRDefault="001F0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sReSan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AED54" w14:textId="77777777" w:rsidR="00A95593" w:rsidRDefault="00B573F1">
    <w:pPr>
      <w:pStyle w:val="Footer"/>
      <w:rPr>
        <w:rFonts w:ascii="Times New Roman" w:hAnsi="Times New Roman" w:cs="Times New Roman"/>
        <w:sz w:val="20"/>
        <w:szCs w:val="20"/>
      </w:rPr>
    </w:pPr>
    <w:r>
      <w:rPr>
        <w:rFonts w:ascii="Times New Roman" w:hAnsi="Times New Roman" w:cs="Times New Roman"/>
        <w:sz w:val="20"/>
        <w:szCs w:val="20"/>
      </w:rPr>
      <w:t xml:space="preserve">CP2 Paper 2, September 2022 - </w:t>
    </w:r>
    <w:r>
      <w:fldChar w:fldCharType="begin"/>
    </w:r>
    <w:r>
      <w:instrText>PAGE \* MERGEFORMAT</w:instrText>
    </w:r>
    <w: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ab/>
      <w:t xml:space="preserve">                                      </w:t>
    </w:r>
    <w:r>
      <w:rPr>
        <w:rFonts w:ascii="Symbol" w:eastAsia="Symbol" w:hAnsi="Symbol" w:cs="Symbol"/>
        <w:sz w:val="20"/>
        <w:szCs w:val="20"/>
      </w:rPr>
      <w:t>ã</w:t>
    </w:r>
    <w:r>
      <w:rPr>
        <w:rFonts w:ascii="Times New Roman" w:hAnsi="Times New Roman" w:cs="Times New Roman"/>
        <w:sz w:val="20"/>
        <w:szCs w:val="20"/>
      </w:rPr>
      <w:t xml:space="preserve"> Institute and Faculty of Actuaries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F4E82B" w14:textId="77777777" w:rsidR="001F08E7" w:rsidRDefault="001F08E7">
      <w:pPr>
        <w:spacing w:after="0" w:line="240" w:lineRule="auto"/>
      </w:pPr>
      <w:r>
        <w:separator/>
      </w:r>
    </w:p>
  </w:footnote>
  <w:footnote w:type="continuationSeparator" w:id="0">
    <w:p w14:paraId="0013CDAE" w14:textId="77777777" w:rsidR="001F08E7" w:rsidRDefault="001F08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B6224"/>
    <w:multiLevelType w:val="hybridMultilevel"/>
    <w:tmpl w:val="B9D6B7AC"/>
    <w:lvl w:ilvl="0" w:tplc="C21C5A74">
      <w:start w:val="1"/>
      <w:numFmt w:val="bullet"/>
      <w:lvlText w:val=""/>
      <w:lvlJc w:val="left"/>
      <w:pPr>
        <w:ind w:left="720" w:hanging="358"/>
      </w:pPr>
      <w:rPr>
        <w:rFonts w:ascii="Symbol" w:hAnsi="Symbol" w:hint="default"/>
      </w:rPr>
    </w:lvl>
    <w:lvl w:ilvl="1" w:tplc="A1B29BF4">
      <w:start w:val="1"/>
      <w:numFmt w:val="bullet"/>
      <w:lvlText w:val="o"/>
      <w:lvlJc w:val="left"/>
      <w:pPr>
        <w:ind w:left="1440" w:hanging="358"/>
      </w:pPr>
      <w:rPr>
        <w:rFonts w:ascii="Courier New" w:hAnsi="Courier New" w:cs="Courier New" w:hint="default"/>
      </w:rPr>
    </w:lvl>
    <w:lvl w:ilvl="2" w:tplc="4CC48BFC">
      <w:start w:val="1"/>
      <w:numFmt w:val="bullet"/>
      <w:lvlText w:val=""/>
      <w:lvlJc w:val="left"/>
      <w:pPr>
        <w:ind w:left="2160" w:hanging="358"/>
      </w:pPr>
      <w:rPr>
        <w:rFonts w:ascii="Wingdings" w:hAnsi="Wingdings" w:hint="default"/>
      </w:rPr>
    </w:lvl>
    <w:lvl w:ilvl="3" w:tplc="E31E8936">
      <w:start w:val="1"/>
      <w:numFmt w:val="bullet"/>
      <w:lvlText w:val=""/>
      <w:lvlJc w:val="left"/>
      <w:pPr>
        <w:ind w:left="2880" w:hanging="358"/>
      </w:pPr>
      <w:rPr>
        <w:rFonts w:ascii="Symbol" w:hAnsi="Symbol" w:hint="default"/>
      </w:rPr>
    </w:lvl>
    <w:lvl w:ilvl="4" w:tplc="7E421734">
      <w:start w:val="1"/>
      <w:numFmt w:val="bullet"/>
      <w:lvlText w:val="o"/>
      <w:lvlJc w:val="left"/>
      <w:pPr>
        <w:ind w:left="3600" w:hanging="358"/>
      </w:pPr>
      <w:rPr>
        <w:rFonts w:ascii="Courier New" w:hAnsi="Courier New" w:cs="Courier New" w:hint="default"/>
      </w:rPr>
    </w:lvl>
    <w:lvl w:ilvl="5" w:tplc="85F80B00">
      <w:start w:val="1"/>
      <w:numFmt w:val="bullet"/>
      <w:lvlText w:val=""/>
      <w:lvlJc w:val="left"/>
      <w:pPr>
        <w:ind w:left="4320" w:hanging="358"/>
      </w:pPr>
      <w:rPr>
        <w:rFonts w:ascii="Wingdings" w:hAnsi="Wingdings" w:hint="default"/>
      </w:rPr>
    </w:lvl>
    <w:lvl w:ilvl="6" w:tplc="3A74FAE2">
      <w:start w:val="1"/>
      <w:numFmt w:val="bullet"/>
      <w:lvlText w:val=""/>
      <w:lvlJc w:val="left"/>
      <w:pPr>
        <w:ind w:left="5040" w:hanging="358"/>
      </w:pPr>
      <w:rPr>
        <w:rFonts w:ascii="Symbol" w:hAnsi="Symbol" w:hint="default"/>
      </w:rPr>
    </w:lvl>
    <w:lvl w:ilvl="7" w:tplc="58A8A334">
      <w:start w:val="1"/>
      <w:numFmt w:val="bullet"/>
      <w:lvlText w:val="o"/>
      <w:lvlJc w:val="left"/>
      <w:pPr>
        <w:ind w:left="5760" w:hanging="358"/>
      </w:pPr>
      <w:rPr>
        <w:rFonts w:ascii="Courier New" w:hAnsi="Courier New" w:cs="Courier New" w:hint="default"/>
      </w:rPr>
    </w:lvl>
    <w:lvl w:ilvl="8" w:tplc="7DD6FC64">
      <w:start w:val="1"/>
      <w:numFmt w:val="bullet"/>
      <w:lvlText w:val=""/>
      <w:lvlJc w:val="left"/>
      <w:pPr>
        <w:ind w:left="6480" w:hanging="358"/>
      </w:pPr>
      <w:rPr>
        <w:rFonts w:ascii="Wingdings" w:hAnsi="Wingdings" w:hint="default"/>
      </w:rPr>
    </w:lvl>
  </w:abstractNum>
  <w:abstractNum w:abstractNumId="1" w15:restartNumberingAfterBreak="0">
    <w:nsid w:val="128F303F"/>
    <w:multiLevelType w:val="hybridMultilevel"/>
    <w:tmpl w:val="15D8851A"/>
    <w:lvl w:ilvl="0" w:tplc="9ED85878">
      <w:start w:val="1"/>
      <w:numFmt w:val="bullet"/>
      <w:lvlText w:val=""/>
      <w:lvlJc w:val="left"/>
      <w:pPr>
        <w:ind w:left="780" w:hanging="359"/>
      </w:pPr>
      <w:rPr>
        <w:rFonts w:ascii="Symbol" w:hAnsi="Symbol" w:hint="default"/>
      </w:rPr>
    </w:lvl>
    <w:lvl w:ilvl="1" w:tplc="79AE9A6E">
      <w:start w:val="1"/>
      <w:numFmt w:val="bullet"/>
      <w:lvlText w:val="o"/>
      <w:lvlJc w:val="left"/>
      <w:pPr>
        <w:ind w:left="1500" w:hanging="359"/>
      </w:pPr>
      <w:rPr>
        <w:rFonts w:ascii="Courier New" w:hAnsi="Courier New" w:cs="Courier New" w:hint="default"/>
      </w:rPr>
    </w:lvl>
    <w:lvl w:ilvl="2" w:tplc="F4A62ABC">
      <w:start w:val="1"/>
      <w:numFmt w:val="bullet"/>
      <w:lvlText w:val=""/>
      <w:lvlJc w:val="left"/>
      <w:pPr>
        <w:ind w:left="2220" w:hanging="359"/>
      </w:pPr>
      <w:rPr>
        <w:rFonts w:ascii="Wingdings" w:hAnsi="Wingdings" w:hint="default"/>
      </w:rPr>
    </w:lvl>
    <w:lvl w:ilvl="3" w:tplc="C67AC1A8">
      <w:start w:val="1"/>
      <w:numFmt w:val="bullet"/>
      <w:lvlText w:val=""/>
      <w:lvlJc w:val="left"/>
      <w:pPr>
        <w:ind w:left="2940" w:hanging="359"/>
      </w:pPr>
      <w:rPr>
        <w:rFonts w:ascii="Symbol" w:hAnsi="Symbol" w:hint="default"/>
      </w:rPr>
    </w:lvl>
    <w:lvl w:ilvl="4" w:tplc="EBD2904C">
      <w:start w:val="1"/>
      <w:numFmt w:val="bullet"/>
      <w:lvlText w:val="o"/>
      <w:lvlJc w:val="left"/>
      <w:pPr>
        <w:ind w:left="3660" w:hanging="359"/>
      </w:pPr>
      <w:rPr>
        <w:rFonts w:ascii="Courier New" w:hAnsi="Courier New" w:cs="Courier New" w:hint="default"/>
      </w:rPr>
    </w:lvl>
    <w:lvl w:ilvl="5" w:tplc="26FA9466">
      <w:start w:val="1"/>
      <w:numFmt w:val="bullet"/>
      <w:lvlText w:val=""/>
      <w:lvlJc w:val="left"/>
      <w:pPr>
        <w:ind w:left="4380" w:hanging="359"/>
      </w:pPr>
      <w:rPr>
        <w:rFonts w:ascii="Wingdings" w:hAnsi="Wingdings" w:hint="default"/>
      </w:rPr>
    </w:lvl>
    <w:lvl w:ilvl="6" w:tplc="7F545C0C">
      <w:start w:val="1"/>
      <w:numFmt w:val="bullet"/>
      <w:lvlText w:val=""/>
      <w:lvlJc w:val="left"/>
      <w:pPr>
        <w:ind w:left="5100" w:hanging="359"/>
      </w:pPr>
      <w:rPr>
        <w:rFonts w:ascii="Symbol" w:hAnsi="Symbol" w:hint="default"/>
      </w:rPr>
    </w:lvl>
    <w:lvl w:ilvl="7" w:tplc="D2C6AA02">
      <w:start w:val="1"/>
      <w:numFmt w:val="bullet"/>
      <w:lvlText w:val="o"/>
      <w:lvlJc w:val="left"/>
      <w:pPr>
        <w:ind w:left="5820" w:hanging="359"/>
      </w:pPr>
      <w:rPr>
        <w:rFonts w:ascii="Courier New" w:hAnsi="Courier New" w:cs="Courier New" w:hint="default"/>
      </w:rPr>
    </w:lvl>
    <w:lvl w:ilvl="8" w:tplc="B7D29AA8">
      <w:start w:val="1"/>
      <w:numFmt w:val="bullet"/>
      <w:lvlText w:val=""/>
      <w:lvlJc w:val="left"/>
      <w:pPr>
        <w:ind w:left="6540" w:hanging="359"/>
      </w:pPr>
      <w:rPr>
        <w:rFonts w:ascii="Wingdings" w:hAnsi="Wingdings" w:hint="default"/>
      </w:rPr>
    </w:lvl>
  </w:abstractNum>
  <w:abstractNum w:abstractNumId="2" w15:restartNumberingAfterBreak="0">
    <w:nsid w:val="134159A2"/>
    <w:multiLevelType w:val="hybridMultilevel"/>
    <w:tmpl w:val="C2B2B5DA"/>
    <w:lvl w:ilvl="0" w:tplc="EAB0EB40">
      <w:start w:val="1"/>
      <w:numFmt w:val="bullet"/>
      <w:lvlText w:val=""/>
      <w:lvlJc w:val="left"/>
      <w:pPr>
        <w:ind w:left="720" w:hanging="358"/>
      </w:pPr>
      <w:rPr>
        <w:rFonts w:ascii="Symbol" w:hAnsi="Symbol" w:hint="default"/>
      </w:rPr>
    </w:lvl>
    <w:lvl w:ilvl="1" w:tplc="99281398">
      <w:start w:val="1"/>
      <w:numFmt w:val="bullet"/>
      <w:lvlText w:val="o"/>
      <w:lvlJc w:val="left"/>
      <w:pPr>
        <w:ind w:left="1440" w:hanging="358"/>
      </w:pPr>
      <w:rPr>
        <w:rFonts w:ascii="Courier New" w:hAnsi="Courier New" w:cs="Courier New" w:hint="default"/>
      </w:rPr>
    </w:lvl>
    <w:lvl w:ilvl="2" w:tplc="0BA400BC">
      <w:start w:val="1"/>
      <w:numFmt w:val="bullet"/>
      <w:lvlText w:val=""/>
      <w:lvlJc w:val="left"/>
      <w:pPr>
        <w:ind w:left="2160" w:hanging="358"/>
      </w:pPr>
      <w:rPr>
        <w:rFonts w:ascii="Wingdings" w:hAnsi="Wingdings" w:hint="default"/>
      </w:rPr>
    </w:lvl>
    <w:lvl w:ilvl="3" w:tplc="65A62916">
      <w:start w:val="1"/>
      <w:numFmt w:val="bullet"/>
      <w:lvlText w:val=""/>
      <w:lvlJc w:val="left"/>
      <w:pPr>
        <w:ind w:left="2880" w:hanging="358"/>
      </w:pPr>
      <w:rPr>
        <w:rFonts w:ascii="Symbol" w:hAnsi="Symbol" w:hint="default"/>
      </w:rPr>
    </w:lvl>
    <w:lvl w:ilvl="4" w:tplc="A2A87394">
      <w:start w:val="1"/>
      <w:numFmt w:val="bullet"/>
      <w:lvlText w:val="o"/>
      <w:lvlJc w:val="left"/>
      <w:pPr>
        <w:ind w:left="3600" w:hanging="358"/>
      </w:pPr>
      <w:rPr>
        <w:rFonts w:ascii="Courier New" w:hAnsi="Courier New" w:cs="Courier New" w:hint="default"/>
      </w:rPr>
    </w:lvl>
    <w:lvl w:ilvl="5" w:tplc="53204EC4">
      <w:start w:val="1"/>
      <w:numFmt w:val="bullet"/>
      <w:lvlText w:val=""/>
      <w:lvlJc w:val="left"/>
      <w:pPr>
        <w:ind w:left="4320" w:hanging="358"/>
      </w:pPr>
      <w:rPr>
        <w:rFonts w:ascii="Wingdings" w:hAnsi="Wingdings" w:hint="default"/>
      </w:rPr>
    </w:lvl>
    <w:lvl w:ilvl="6" w:tplc="17AA43EA">
      <w:start w:val="1"/>
      <w:numFmt w:val="bullet"/>
      <w:lvlText w:val=""/>
      <w:lvlJc w:val="left"/>
      <w:pPr>
        <w:ind w:left="5040" w:hanging="358"/>
      </w:pPr>
      <w:rPr>
        <w:rFonts w:ascii="Symbol" w:hAnsi="Symbol" w:hint="default"/>
      </w:rPr>
    </w:lvl>
    <w:lvl w:ilvl="7" w:tplc="D7DEEBA4">
      <w:start w:val="1"/>
      <w:numFmt w:val="bullet"/>
      <w:lvlText w:val="o"/>
      <w:lvlJc w:val="left"/>
      <w:pPr>
        <w:ind w:left="5760" w:hanging="358"/>
      </w:pPr>
      <w:rPr>
        <w:rFonts w:ascii="Courier New" w:hAnsi="Courier New" w:cs="Courier New" w:hint="default"/>
      </w:rPr>
    </w:lvl>
    <w:lvl w:ilvl="8" w:tplc="B0A2DD20">
      <w:start w:val="1"/>
      <w:numFmt w:val="bullet"/>
      <w:lvlText w:val=""/>
      <w:lvlJc w:val="left"/>
      <w:pPr>
        <w:ind w:left="6480" w:hanging="358"/>
      </w:pPr>
      <w:rPr>
        <w:rFonts w:ascii="Wingdings" w:hAnsi="Wingdings" w:hint="default"/>
      </w:rPr>
    </w:lvl>
  </w:abstractNum>
  <w:abstractNum w:abstractNumId="3" w15:restartNumberingAfterBreak="0">
    <w:nsid w:val="148A2D5D"/>
    <w:multiLevelType w:val="hybridMultilevel"/>
    <w:tmpl w:val="25EC177E"/>
    <w:lvl w:ilvl="0" w:tplc="B8BA698A">
      <w:start w:val="1"/>
      <w:numFmt w:val="bullet"/>
      <w:lvlText w:val=""/>
      <w:lvlJc w:val="left"/>
      <w:pPr>
        <w:ind w:left="720" w:hanging="359"/>
      </w:pPr>
      <w:rPr>
        <w:rFonts w:ascii="Symbol" w:hAnsi="Symbol" w:hint="default"/>
      </w:rPr>
    </w:lvl>
    <w:lvl w:ilvl="1" w:tplc="358488C6">
      <w:start w:val="1"/>
      <w:numFmt w:val="bullet"/>
      <w:lvlText w:val="o"/>
      <w:lvlJc w:val="left"/>
      <w:pPr>
        <w:ind w:left="1440" w:hanging="359"/>
      </w:pPr>
      <w:rPr>
        <w:rFonts w:ascii="Courier New" w:hAnsi="Courier New" w:cs="Courier New" w:hint="default"/>
      </w:rPr>
    </w:lvl>
    <w:lvl w:ilvl="2" w:tplc="7AFA39FE">
      <w:start w:val="1"/>
      <w:numFmt w:val="bullet"/>
      <w:lvlText w:val=""/>
      <w:lvlJc w:val="left"/>
      <w:pPr>
        <w:ind w:left="2160" w:hanging="359"/>
      </w:pPr>
      <w:rPr>
        <w:rFonts w:ascii="Wingdings" w:hAnsi="Wingdings" w:hint="default"/>
      </w:rPr>
    </w:lvl>
    <w:lvl w:ilvl="3" w:tplc="12440B72">
      <w:start w:val="1"/>
      <w:numFmt w:val="bullet"/>
      <w:lvlText w:val=""/>
      <w:lvlJc w:val="left"/>
      <w:pPr>
        <w:ind w:left="2880" w:hanging="359"/>
      </w:pPr>
      <w:rPr>
        <w:rFonts w:ascii="Symbol" w:hAnsi="Symbol" w:hint="default"/>
      </w:rPr>
    </w:lvl>
    <w:lvl w:ilvl="4" w:tplc="9518660C">
      <w:start w:val="1"/>
      <w:numFmt w:val="bullet"/>
      <w:lvlText w:val="o"/>
      <w:lvlJc w:val="left"/>
      <w:pPr>
        <w:ind w:left="3600" w:hanging="359"/>
      </w:pPr>
      <w:rPr>
        <w:rFonts w:ascii="Courier New" w:hAnsi="Courier New" w:cs="Courier New" w:hint="default"/>
      </w:rPr>
    </w:lvl>
    <w:lvl w:ilvl="5" w:tplc="350EA764">
      <w:start w:val="1"/>
      <w:numFmt w:val="bullet"/>
      <w:lvlText w:val=""/>
      <w:lvlJc w:val="left"/>
      <w:pPr>
        <w:ind w:left="4320" w:hanging="359"/>
      </w:pPr>
      <w:rPr>
        <w:rFonts w:ascii="Wingdings" w:hAnsi="Wingdings" w:hint="default"/>
      </w:rPr>
    </w:lvl>
    <w:lvl w:ilvl="6" w:tplc="35F0C7B6">
      <w:start w:val="1"/>
      <w:numFmt w:val="bullet"/>
      <w:lvlText w:val=""/>
      <w:lvlJc w:val="left"/>
      <w:pPr>
        <w:ind w:left="5040" w:hanging="359"/>
      </w:pPr>
      <w:rPr>
        <w:rFonts w:ascii="Symbol" w:hAnsi="Symbol" w:hint="default"/>
      </w:rPr>
    </w:lvl>
    <w:lvl w:ilvl="7" w:tplc="2162FCF2">
      <w:start w:val="1"/>
      <w:numFmt w:val="bullet"/>
      <w:lvlText w:val="o"/>
      <w:lvlJc w:val="left"/>
      <w:pPr>
        <w:ind w:left="5760" w:hanging="359"/>
      </w:pPr>
      <w:rPr>
        <w:rFonts w:ascii="Courier New" w:hAnsi="Courier New" w:cs="Courier New" w:hint="default"/>
      </w:rPr>
    </w:lvl>
    <w:lvl w:ilvl="8" w:tplc="7424FA08">
      <w:start w:val="1"/>
      <w:numFmt w:val="bullet"/>
      <w:lvlText w:val=""/>
      <w:lvlJc w:val="left"/>
      <w:pPr>
        <w:ind w:left="6480" w:hanging="359"/>
      </w:pPr>
      <w:rPr>
        <w:rFonts w:ascii="Wingdings" w:hAnsi="Wingdings" w:hint="default"/>
      </w:rPr>
    </w:lvl>
  </w:abstractNum>
  <w:abstractNum w:abstractNumId="4" w15:restartNumberingAfterBreak="0">
    <w:nsid w:val="3B597F74"/>
    <w:multiLevelType w:val="hybridMultilevel"/>
    <w:tmpl w:val="A80C5E02"/>
    <w:lvl w:ilvl="0" w:tplc="F5AE9DF0">
      <w:start w:val="1"/>
      <w:numFmt w:val="bullet"/>
      <w:lvlText w:val="-"/>
      <w:lvlJc w:val="left"/>
      <w:pPr>
        <w:ind w:left="720" w:hanging="358"/>
      </w:pPr>
      <w:rPr>
        <w:rFonts w:ascii="SwissReSans" w:eastAsia="Calibri" w:hAnsi="SwissReSans" w:cs="Calibri" w:hint="default"/>
      </w:rPr>
    </w:lvl>
    <w:lvl w:ilvl="1" w:tplc="6F1C0A5E">
      <w:start w:val="1"/>
      <w:numFmt w:val="bullet"/>
      <w:lvlText w:val="o"/>
      <w:lvlJc w:val="left"/>
      <w:pPr>
        <w:ind w:left="1440" w:hanging="358"/>
      </w:pPr>
      <w:rPr>
        <w:rFonts w:ascii="Courier New" w:hAnsi="Courier New" w:cs="Courier New" w:hint="default"/>
      </w:rPr>
    </w:lvl>
    <w:lvl w:ilvl="2" w:tplc="34CCF31C">
      <w:start w:val="1"/>
      <w:numFmt w:val="bullet"/>
      <w:lvlText w:val=""/>
      <w:lvlJc w:val="left"/>
      <w:pPr>
        <w:ind w:left="2160" w:hanging="358"/>
      </w:pPr>
      <w:rPr>
        <w:rFonts w:ascii="Wingdings" w:hAnsi="Wingdings" w:hint="default"/>
      </w:rPr>
    </w:lvl>
    <w:lvl w:ilvl="3" w:tplc="117C27CA">
      <w:start w:val="1"/>
      <w:numFmt w:val="bullet"/>
      <w:lvlText w:val=""/>
      <w:lvlJc w:val="left"/>
      <w:pPr>
        <w:ind w:left="2880" w:hanging="358"/>
      </w:pPr>
      <w:rPr>
        <w:rFonts w:ascii="Symbol" w:hAnsi="Symbol" w:hint="default"/>
      </w:rPr>
    </w:lvl>
    <w:lvl w:ilvl="4" w:tplc="E42E56CC">
      <w:start w:val="1"/>
      <w:numFmt w:val="bullet"/>
      <w:lvlText w:val="o"/>
      <w:lvlJc w:val="left"/>
      <w:pPr>
        <w:ind w:left="3600" w:hanging="358"/>
      </w:pPr>
      <w:rPr>
        <w:rFonts w:ascii="Courier New" w:hAnsi="Courier New" w:cs="Courier New" w:hint="default"/>
      </w:rPr>
    </w:lvl>
    <w:lvl w:ilvl="5" w:tplc="5022A786">
      <w:start w:val="1"/>
      <w:numFmt w:val="bullet"/>
      <w:lvlText w:val=""/>
      <w:lvlJc w:val="left"/>
      <w:pPr>
        <w:ind w:left="4320" w:hanging="358"/>
      </w:pPr>
      <w:rPr>
        <w:rFonts w:ascii="Wingdings" w:hAnsi="Wingdings" w:hint="default"/>
      </w:rPr>
    </w:lvl>
    <w:lvl w:ilvl="6" w:tplc="4A46C3C8">
      <w:start w:val="1"/>
      <w:numFmt w:val="bullet"/>
      <w:lvlText w:val=""/>
      <w:lvlJc w:val="left"/>
      <w:pPr>
        <w:ind w:left="5040" w:hanging="358"/>
      </w:pPr>
      <w:rPr>
        <w:rFonts w:ascii="Symbol" w:hAnsi="Symbol" w:hint="default"/>
      </w:rPr>
    </w:lvl>
    <w:lvl w:ilvl="7" w:tplc="6084088C">
      <w:start w:val="1"/>
      <w:numFmt w:val="bullet"/>
      <w:lvlText w:val="o"/>
      <w:lvlJc w:val="left"/>
      <w:pPr>
        <w:ind w:left="5760" w:hanging="358"/>
      </w:pPr>
      <w:rPr>
        <w:rFonts w:ascii="Courier New" w:hAnsi="Courier New" w:cs="Courier New" w:hint="default"/>
      </w:rPr>
    </w:lvl>
    <w:lvl w:ilvl="8" w:tplc="53FA31A4">
      <w:start w:val="1"/>
      <w:numFmt w:val="bullet"/>
      <w:lvlText w:val=""/>
      <w:lvlJc w:val="left"/>
      <w:pPr>
        <w:ind w:left="6480" w:hanging="358"/>
      </w:pPr>
      <w:rPr>
        <w:rFonts w:ascii="Wingdings" w:hAnsi="Wingdings" w:hint="default"/>
      </w:rPr>
    </w:lvl>
  </w:abstractNum>
  <w:abstractNum w:abstractNumId="5" w15:restartNumberingAfterBreak="0">
    <w:nsid w:val="3E5636B4"/>
    <w:multiLevelType w:val="hybridMultilevel"/>
    <w:tmpl w:val="8FEE1A84"/>
    <w:lvl w:ilvl="0" w:tplc="A27E3DBA">
      <w:start w:val="1"/>
      <w:numFmt w:val="bullet"/>
      <w:lvlText w:val="-"/>
      <w:lvlJc w:val="left"/>
      <w:pPr>
        <w:ind w:left="720" w:hanging="358"/>
      </w:pPr>
      <w:rPr>
        <w:rFonts w:ascii="SwissReSans" w:eastAsia="Calibri" w:hAnsi="SwissReSans" w:cs="Calibri" w:hint="default"/>
      </w:rPr>
    </w:lvl>
    <w:lvl w:ilvl="1" w:tplc="65782030">
      <w:start w:val="1"/>
      <w:numFmt w:val="bullet"/>
      <w:lvlText w:val="o"/>
      <w:lvlJc w:val="left"/>
      <w:pPr>
        <w:ind w:left="1440" w:hanging="358"/>
      </w:pPr>
      <w:rPr>
        <w:rFonts w:ascii="Courier New" w:hAnsi="Courier New" w:cs="Courier New" w:hint="default"/>
      </w:rPr>
    </w:lvl>
    <w:lvl w:ilvl="2" w:tplc="1F763C58">
      <w:start w:val="1"/>
      <w:numFmt w:val="bullet"/>
      <w:lvlText w:val=""/>
      <w:lvlJc w:val="left"/>
      <w:pPr>
        <w:ind w:left="2160" w:hanging="358"/>
      </w:pPr>
      <w:rPr>
        <w:rFonts w:ascii="Wingdings" w:hAnsi="Wingdings" w:hint="default"/>
      </w:rPr>
    </w:lvl>
    <w:lvl w:ilvl="3" w:tplc="47B0AC46">
      <w:start w:val="1"/>
      <w:numFmt w:val="bullet"/>
      <w:lvlText w:val=""/>
      <w:lvlJc w:val="left"/>
      <w:pPr>
        <w:ind w:left="2880" w:hanging="358"/>
      </w:pPr>
      <w:rPr>
        <w:rFonts w:ascii="Symbol" w:hAnsi="Symbol" w:hint="default"/>
      </w:rPr>
    </w:lvl>
    <w:lvl w:ilvl="4" w:tplc="79AAD3AC">
      <w:start w:val="1"/>
      <w:numFmt w:val="bullet"/>
      <w:lvlText w:val="o"/>
      <w:lvlJc w:val="left"/>
      <w:pPr>
        <w:ind w:left="3600" w:hanging="358"/>
      </w:pPr>
      <w:rPr>
        <w:rFonts w:ascii="Courier New" w:hAnsi="Courier New" w:cs="Courier New" w:hint="default"/>
      </w:rPr>
    </w:lvl>
    <w:lvl w:ilvl="5" w:tplc="00D06978">
      <w:start w:val="1"/>
      <w:numFmt w:val="bullet"/>
      <w:lvlText w:val=""/>
      <w:lvlJc w:val="left"/>
      <w:pPr>
        <w:ind w:left="4320" w:hanging="358"/>
      </w:pPr>
      <w:rPr>
        <w:rFonts w:ascii="Wingdings" w:hAnsi="Wingdings" w:hint="default"/>
      </w:rPr>
    </w:lvl>
    <w:lvl w:ilvl="6" w:tplc="7DD4AE00">
      <w:start w:val="1"/>
      <w:numFmt w:val="bullet"/>
      <w:lvlText w:val=""/>
      <w:lvlJc w:val="left"/>
      <w:pPr>
        <w:ind w:left="5040" w:hanging="358"/>
      </w:pPr>
      <w:rPr>
        <w:rFonts w:ascii="Symbol" w:hAnsi="Symbol" w:hint="default"/>
      </w:rPr>
    </w:lvl>
    <w:lvl w:ilvl="7" w:tplc="E87C78F4">
      <w:start w:val="1"/>
      <w:numFmt w:val="bullet"/>
      <w:lvlText w:val="o"/>
      <w:lvlJc w:val="left"/>
      <w:pPr>
        <w:ind w:left="5760" w:hanging="358"/>
      </w:pPr>
      <w:rPr>
        <w:rFonts w:ascii="Courier New" w:hAnsi="Courier New" w:cs="Courier New" w:hint="default"/>
      </w:rPr>
    </w:lvl>
    <w:lvl w:ilvl="8" w:tplc="8EC8182E">
      <w:start w:val="1"/>
      <w:numFmt w:val="bullet"/>
      <w:lvlText w:val=""/>
      <w:lvlJc w:val="left"/>
      <w:pPr>
        <w:ind w:left="6480" w:hanging="358"/>
      </w:pPr>
      <w:rPr>
        <w:rFonts w:ascii="Wingdings" w:hAnsi="Wingdings" w:hint="default"/>
      </w:rPr>
    </w:lvl>
  </w:abstractNum>
  <w:abstractNum w:abstractNumId="6" w15:restartNumberingAfterBreak="0">
    <w:nsid w:val="57F75FF6"/>
    <w:multiLevelType w:val="hybridMultilevel"/>
    <w:tmpl w:val="682AA448"/>
    <w:lvl w:ilvl="0" w:tplc="D9A2D1F6">
      <w:start w:val="1"/>
      <w:numFmt w:val="bullet"/>
      <w:lvlText w:val=""/>
      <w:lvlJc w:val="left"/>
      <w:pPr>
        <w:ind w:left="720" w:hanging="359"/>
      </w:pPr>
      <w:rPr>
        <w:rFonts w:ascii="Symbol" w:hAnsi="Symbol" w:hint="default"/>
      </w:rPr>
    </w:lvl>
    <w:lvl w:ilvl="1" w:tplc="61E276AC">
      <w:start w:val="1"/>
      <w:numFmt w:val="bullet"/>
      <w:lvlText w:val="o"/>
      <w:lvlJc w:val="left"/>
      <w:pPr>
        <w:ind w:left="1440" w:hanging="359"/>
      </w:pPr>
      <w:rPr>
        <w:rFonts w:ascii="Courier New" w:hAnsi="Courier New" w:cs="Courier New" w:hint="default"/>
      </w:rPr>
    </w:lvl>
    <w:lvl w:ilvl="2" w:tplc="40F20B76">
      <w:start w:val="1"/>
      <w:numFmt w:val="bullet"/>
      <w:lvlText w:val=""/>
      <w:lvlJc w:val="left"/>
      <w:pPr>
        <w:ind w:left="2160" w:hanging="359"/>
      </w:pPr>
      <w:rPr>
        <w:rFonts w:ascii="Wingdings" w:hAnsi="Wingdings" w:hint="default"/>
      </w:rPr>
    </w:lvl>
    <w:lvl w:ilvl="3" w:tplc="0D6662B4">
      <w:start w:val="1"/>
      <w:numFmt w:val="bullet"/>
      <w:lvlText w:val=""/>
      <w:lvlJc w:val="left"/>
      <w:pPr>
        <w:ind w:left="2880" w:hanging="359"/>
      </w:pPr>
      <w:rPr>
        <w:rFonts w:ascii="Symbol" w:hAnsi="Symbol" w:hint="default"/>
      </w:rPr>
    </w:lvl>
    <w:lvl w:ilvl="4" w:tplc="25BE6490">
      <w:start w:val="1"/>
      <w:numFmt w:val="bullet"/>
      <w:lvlText w:val="o"/>
      <w:lvlJc w:val="left"/>
      <w:pPr>
        <w:ind w:left="3600" w:hanging="359"/>
      </w:pPr>
      <w:rPr>
        <w:rFonts w:ascii="Courier New" w:hAnsi="Courier New" w:cs="Courier New" w:hint="default"/>
      </w:rPr>
    </w:lvl>
    <w:lvl w:ilvl="5" w:tplc="59880E30">
      <w:start w:val="1"/>
      <w:numFmt w:val="bullet"/>
      <w:lvlText w:val=""/>
      <w:lvlJc w:val="left"/>
      <w:pPr>
        <w:ind w:left="4320" w:hanging="359"/>
      </w:pPr>
      <w:rPr>
        <w:rFonts w:ascii="Wingdings" w:hAnsi="Wingdings" w:hint="default"/>
      </w:rPr>
    </w:lvl>
    <w:lvl w:ilvl="6" w:tplc="909C36CA">
      <w:start w:val="1"/>
      <w:numFmt w:val="bullet"/>
      <w:lvlText w:val=""/>
      <w:lvlJc w:val="left"/>
      <w:pPr>
        <w:ind w:left="5040" w:hanging="359"/>
      </w:pPr>
      <w:rPr>
        <w:rFonts w:ascii="Symbol" w:hAnsi="Symbol" w:hint="default"/>
      </w:rPr>
    </w:lvl>
    <w:lvl w:ilvl="7" w:tplc="38CE9DF8">
      <w:start w:val="1"/>
      <w:numFmt w:val="bullet"/>
      <w:lvlText w:val="o"/>
      <w:lvlJc w:val="left"/>
      <w:pPr>
        <w:ind w:left="5760" w:hanging="359"/>
      </w:pPr>
      <w:rPr>
        <w:rFonts w:ascii="Courier New" w:hAnsi="Courier New" w:cs="Courier New" w:hint="default"/>
      </w:rPr>
    </w:lvl>
    <w:lvl w:ilvl="8" w:tplc="DBD8AE96">
      <w:start w:val="1"/>
      <w:numFmt w:val="bullet"/>
      <w:lvlText w:val=""/>
      <w:lvlJc w:val="left"/>
      <w:pPr>
        <w:ind w:left="6480" w:hanging="359"/>
      </w:pPr>
      <w:rPr>
        <w:rFonts w:ascii="Wingdings" w:hAnsi="Wingdings" w:hint="default"/>
      </w:rPr>
    </w:lvl>
  </w:abstractNum>
  <w:abstractNum w:abstractNumId="7" w15:restartNumberingAfterBreak="0">
    <w:nsid w:val="585744A9"/>
    <w:multiLevelType w:val="hybridMultilevel"/>
    <w:tmpl w:val="B7BC5902"/>
    <w:lvl w:ilvl="0" w:tplc="173247FE">
      <w:start w:val="1"/>
      <w:numFmt w:val="upperLetter"/>
      <w:lvlText w:val="%1."/>
      <w:lvlJc w:val="left"/>
      <w:pPr>
        <w:ind w:left="720" w:hanging="359"/>
      </w:pPr>
      <w:rPr>
        <w:rFonts w:hint="default"/>
      </w:rPr>
    </w:lvl>
    <w:lvl w:ilvl="1" w:tplc="444A4EE2">
      <w:start w:val="1"/>
      <w:numFmt w:val="lowerLetter"/>
      <w:lvlText w:val="%2."/>
      <w:lvlJc w:val="left"/>
      <w:pPr>
        <w:ind w:left="1440" w:hanging="359"/>
      </w:pPr>
    </w:lvl>
    <w:lvl w:ilvl="2" w:tplc="C442BC5E">
      <w:start w:val="1"/>
      <w:numFmt w:val="lowerRoman"/>
      <w:lvlText w:val="%3."/>
      <w:lvlJc w:val="right"/>
      <w:pPr>
        <w:ind w:left="2160" w:hanging="179"/>
      </w:pPr>
    </w:lvl>
    <w:lvl w:ilvl="3" w:tplc="E1CCFE9A">
      <w:start w:val="1"/>
      <w:numFmt w:val="decimal"/>
      <w:lvlText w:val="%4."/>
      <w:lvlJc w:val="left"/>
      <w:pPr>
        <w:ind w:left="2880" w:hanging="359"/>
      </w:pPr>
    </w:lvl>
    <w:lvl w:ilvl="4" w:tplc="02224468">
      <w:start w:val="1"/>
      <w:numFmt w:val="lowerLetter"/>
      <w:lvlText w:val="%5."/>
      <w:lvlJc w:val="left"/>
      <w:pPr>
        <w:ind w:left="3600" w:hanging="359"/>
      </w:pPr>
    </w:lvl>
    <w:lvl w:ilvl="5" w:tplc="97449242">
      <w:start w:val="1"/>
      <w:numFmt w:val="lowerRoman"/>
      <w:lvlText w:val="%6."/>
      <w:lvlJc w:val="right"/>
      <w:pPr>
        <w:ind w:left="4320" w:hanging="179"/>
      </w:pPr>
    </w:lvl>
    <w:lvl w:ilvl="6" w:tplc="62E6A4AC">
      <w:start w:val="1"/>
      <w:numFmt w:val="decimal"/>
      <w:lvlText w:val="%7."/>
      <w:lvlJc w:val="left"/>
      <w:pPr>
        <w:ind w:left="5040" w:hanging="359"/>
      </w:pPr>
    </w:lvl>
    <w:lvl w:ilvl="7" w:tplc="D6EE17C8">
      <w:start w:val="1"/>
      <w:numFmt w:val="lowerLetter"/>
      <w:lvlText w:val="%8."/>
      <w:lvlJc w:val="left"/>
      <w:pPr>
        <w:ind w:left="5760" w:hanging="359"/>
      </w:pPr>
    </w:lvl>
    <w:lvl w:ilvl="8" w:tplc="CEBA6026">
      <w:start w:val="1"/>
      <w:numFmt w:val="lowerRoman"/>
      <w:lvlText w:val="%9."/>
      <w:lvlJc w:val="right"/>
      <w:pPr>
        <w:ind w:left="6480" w:hanging="179"/>
      </w:pPr>
    </w:lvl>
  </w:abstractNum>
  <w:abstractNum w:abstractNumId="8" w15:restartNumberingAfterBreak="0">
    <w:nsid w:val="5A542027"/>
    <w:multiLevelType w:val="hybridMultilevel"/>
    <w:tmpl w:val="4A200050"/>
    <w:lvl w:ilvl="0" w:tplc="7FBCD012">
      <w:start w:val="1"/>
      <w:numFmt w:val="bullet"/>
      <w:lvlText w:val=""/>
      <w:lvlJc w:val="left"/>
      <w:pPr>
        <w:ind w:left="720" w:hanging="358"/>
      </w:pPr>
      <w:rPr>
        <w:rFonts w:ascii="Symbol" w:hAnsi="Symbol" w:hint="default"/>
      </w:rPr>
    </w:lvl>
    <w:lvl w:ilvl="1" w:tplc="F1B079F0">
      <w:start w:val="1"/>
      <w:numFmt w:val="bullet"/>
      <w:lvlText w:val="o"/>
      <w:lvlJc w:val="left"/>
      <w:pPr>
        <w:ind w:left="1440" w:hanging="358"/>
      </w:pPr>
      <w:rPr>
        <w:rFonts w:ascii="Courier New" w:hAnsi="Courier New" w:cs="Courier New" w:hint="default"/>
      </w:rPr>
    </w:lvl>
    <w:lvl w:ilvl="2" w:tplc="6C0EC17C">
      <w:start w:val="1"/>
      <w:numFmt w:val="bullet"/>
      <w:lvlText w:val=""/>
      <w:lvlJc w:val="left"/>
      <w:pPr>
        <w:ind w:left="2160" w:hanging="358"/>
      </w:pPr>
      <w:rPr>
        <w:rFonts w:ascii="Wingdings" w:hAnsi="Wingdings" w:hint="default"/>
      </w:rPr>
    </w:lvl>
    <w:lvl w:ilvl="3" w:tplc="3836BA60">
      <w:start w:val="1"/>
      <w:numFmt w:val="bullet"/>
      <w:lvlText w:val=""/>
      <w:lvlJc w:val="left"/>
      <w:pPr>
        <w:ind w:left="2880" w:hanging="358"/>
      </w:pPr>
      <w:rPr>
        <w:rFonts w:ascii="Symbol" w:hAnsi="Symbol" w:hint="default"/>
      </w:rPr>
    </w:lvl>
    <w:lvl w:ilvl="4" w:tplc="963ADB94">
      <w:start w:val="1"/>
      <w:numFmt w:val="bullet"/>
      <w:lvlText w:val="o"/>
      <w:lvlJc w:val="left"/>
      <w:pPr>
        <w:ind w:left="3600" w:hanging="358"/>
      </w:pPr>
      <w:rPr>
        <w:rFonts w:ascii="Courier New" w:hAnsi="Courier New" w:cs="Courier New" w:hint="default"/>
      </w:rPr>
    </w:lvl>
    <w:lvl w:ilvl="5" w:tplc="64D474A4">
      <w:start w:val="1"/>
      <w:numFmt w:val="bullet"/>
      <w:lvlText w:val=""/>
      <w:lvlJc w:val="left"/>
      <w:pPr>
        <w:ind w:left="4320" w:hanging="358"/>
      </w:pPr>
      <w:rPr>
        <w:rFonts w:ascii="Wingdings" w:hAnsi="Wingdings" w:hint="default"/>
      </w:rPr>
    </w:lvl>
    <w:lvl w:ilvl="6" w:tplc="5B064D9E">
      <w:start w:val="1"/>
      <w:numFmt w:val="bullet"/>
      <w:lvlText w:val=""/>
      <w:lvlJc w:val="left"/>
      <w:pPr>
        <w:ind w:left="5040" w:hanging="358"/>
      </w:pPr>
      <w:rPr>
        <w:rFonts w:ascii="Symbol" w:hAnsi="Symbol" w:hint="default"/>
      </w:rPr>
    </w:lvl>
    <w:lvl w:ilvl="7" w:tplc="110C63BA">
      <w:start w:val="1"/>
      <w:numFmt w:val="bullet"/>
      <w:lvlText w:val="o"/>
      <w:lvlJc w:val="left"/>
      <w:pPr>
        <w:ind w:left="5760" w:hanging="358"/>
      </w:pPr>
      <w:rPr>
        <w:rFonts w:ascii="Courier New" w:hAnsi="Courier New" w:cs="Courier New" w:hint="default"/>
      </w:rPr>
    </w:lvl>
    <w:lvl w:ilvl="8" w:tplc="5ABC49F4">
      <w:start w:val="1"/>
      <w:numFmt w:val="bullet"/>
      <w:lvlText w:val=""/>
      <w:lvlJc w:val="left"/>
      <w:pPr>
        <w:ind w:left="6480" w:hanging="358"/>
      </w:pPr>
      <w:rPr>
        <w:rFonts w:ascii="Wingdings" w:hAnsi="Wingdings" w:hint="default"/>
      </w:rPr>
    </w:lvl>
  </w:abstractNum>
  <w:abstractNum w:abstractNumId="9" w15:restartNumberingAfterBreak="0">
    <w:nsid w:val="5C950BB9"/>
    <w:multiLevelType w:val="hybridMultilevel"/>
    <w:tmpl w:val="E2D479C8"/>
    <w:lvl w:ilvl="0" w:tplc="86AE2C1A">
      <w:start w:val="1"/>
      <w:numFmt w:val="decimal"/>
      <w:lvlText w:val="%1."/>
      <w:lvlJc w:val="left"/>
      <w:pPr>
        <w:ind w:left="720" w:hanging="359"/>
      </w:pPr>
      <w:rPr>
        <w:rFonts w:hint="default"/>
        <w:b w:val="0"/>
        <w:u w:val="none"/>
      </w:rPr>
    </w:lvl>
    <w:lvl w:ilvl="1" w:tplc="6DAA9596">
      <w:start w:val="1"/>
      <w:numFmt w:val="lowerLetter"/>
      <w:lvlText w:val="%2."/>
      <w:lvlJc w:val="left"/>
      <w:pPr>
        <w:ind w:left="1440" w:hanging="359"/>
      </w:pPr>
    </w:lvl>
    <w:lvl w:ilvl="2" w:tplc="30C0C006">
      <w:start w:val="1"/>
      <w:numFmt w:val="lowerRoman"/>
      <w:lvlText w:val="%3."/>
      <w:lvlJc w:val="right"/>
      <w:pPr>
        <w:ind w:left="2160" w:hanging="179"/>
      </w:pPr>
    </w:lvl>
    <w:lvl w:ilvl="3" w:tplc="1D3608DE">
      <w:start w:val="1"/>
      <w:numFmt w:val="decimal"/>
      <w:lvlText w:val="%4."/>
      <w:lvlJc w:val="left"/>
      <w:pPr>
        <w:ind w:left="2880" w:hanging="359"/>
      </w:pPr>
    </w:lvl>
    <w:lvl w:ilvl="4" w:tplc="74FA2A34">
      <w:start w:val="1"/>
      <w:numFmt w:val="lowerLetter"/>
      <w:lvlText w:val="%5."/>
      <w:lvlJc w:val="left"/>
      <w:pPr>
        <w:ind w:left="3600" w:hanging="359"/>
      </w:pPr>
    </w:lvl>
    <w:lvl w:ilvl="5" w:tplc="97F04D86">
      <w:start w:val="1"/>
      <w:numFmt w:val="lowerRoman"/>
      <w:lvlText w:val="%6."/>
      <w:lvlJc w:val="right"/>
      <w:pPr>
        <w:ind w:left="4320" w:hanging="179"/>
      </w:pPr>
    </w:lvl>
    <w:lvl w:ilvl="6" w:tplc="5B6E08D2">
      <w:start w:val="1"/>
      <w:numFmt w:val="decimal"/>
      <w:lvlText w:val="%7."/>
      <w:lvlJc w:val="left"/>
      <w:pPr>
        <w:ind w:left="5040" w:hanging="359"/>
      </w:pPr>
    </w:lvl>
    <w:lvl w:ilvl="7" w:tplc="A2B811AE">
      <w:start w:val="1"/>
      <w:numFmt w:val="lowerLetter"/>
      <w:lvlText w:val="%8."/>
      <w:lvlJc w:val="left"/>
      <w:pPr>
        <w:ind w:left="5760" w:hanging="359"/>
      </w:pPr>
    </w:lvl>
    <w:lvl w:ilvl="8" w:tplc="C31CC5B8">
      <w:start w:val="1"/>
      <w:numFmt w:val="lowerRoman"/>
      <w:lvlText w:val="%9."/>
      <w:lvlJc w:val="right"/>
      <w:pPr>
        <w:ind w:left="6480" w:hanging="179"/>
      </w:pPr>
    </w:lvl>
  </w:abstractNum>
  <w:abstractNum w:abstractNumId="10" w15:restartNumberingAfterBreak="0">
    <w:nsid w:val="5F010127"/>
    <w:multiLevelType w:val="hybridMultilevel"/>
    <w:tmpl w:val="B9EAD55E"/>
    <w:lvl w:ilvl="0" w:tplc="F1140FE0">
      <w:start w:val="1"/>
      <w:numFmt w:val="bullet"/>
      <w:lvlText w:val="-"/>
      <w:lvlJc w:val="left"/>
      <w:pPr>
        <w:ind w:left="1080" w:hanging="359"/>
      </w:pPr>
      <w:rPr>
        <w:rFonts w:ascii="Calibri" w:eastAsia="Calibri" w:hAnsi="Calibri" w:cs="Calibri" w:hint="default"/>
        <w:b w:val="0"/>
        <w:color w:val="auto"/>
        <w:u w:val="none"/>
      </w:rPr>
    </w:lvl>
    <w:lvl w:ilvl="1" w:tplc="4634CEDC">
      <w:start w:val="1"/>
      <w:numFmt w:val="bullet"/>
      <w:lvlText w:val="o"/>
      <w:lvlJc w:val="left"/>
      <w:pPr>
        <w:ind w:left="1800" w:hanging="359"/>
      </w:pPr>
      <w:rPr>
        <w:rFonts w:ascii="Courier New" w:hAnsi="Courier New" w:cs="Courier New" w:hint="default"/>
      </w:rPr>
    </w:lvl>
    <w:lvl w:ilvl="2" w:tplc="894C8900">
      <w:start w:val="1"/>
      <w:numFmt w:val="bullet"/>
      <w:lvlText w:val=""/>
      <w:lvlJc w:val="left"/>
      <w:pPr>
        <w:ind w:left="2520" w:hanging="359"/>
      </w:pPr>
      <w:rPr>
        <w:rFonts w:ascii="Wingdings" w:hAnsi="Wingdings" w:hint="default"/>
      </w:rPr>
    </w:lvl>
    <w:lvl w:ilvl="3" w:tplc="2D884058">
      <w:start w:val="1"/>
      <w:numFmt w:val="bullet"/>
      <w:lvlText w:val=""/>
      <w:lvlJc w:val="left"/>
      <w:pPr>
        <w:ind w:left="3240" w:hanging="359"/>
      </w:pPr>
      <w:rPr>
        <w:rFonts w:ascii="Symbol" w:hAnsi="Symbol" w:hint="default"/>
      </w:rPr>
    </w:lvl>
    <w:lvl w:ilvl="4" w:tplc="F418C254">
      <w:start w:val="1"/>
      <w:numFmt w:val="bullet"/>
      <w:lvlText w:val="o"/>
      <w:lvlJc w:val="left"/>
      <w:pPr>
        <w:ind w:left="3960" w:hanging="359"/>
      </w:pPr>
      <w:rPr>
        <w:rFonts w:ascii="Courier New" w:hAnsi="Courier New" w:cs="Courier New" w:hint="default"/>
      </w:rPr>
    </w:lvl>
    <w:lvl w:ilvl="5" w:tplc="BE36BAC2">
      <w:start w:val="1"/>
      <w:numFmt w:val="bullet"/>
      <w:lvlText w:val=""/>
      <w:lvlJc w:val="left"/>
      <w:pPr>
        <w:ind w:left="4680" w:hanging="359"/>
      </w:pPr>
      <w:rPr>
        <w:rFonts w:ascii="Wingdings" w:hAnsi="Wingdings" w:hint="default"/>
      </w:rPr>
    </w:lvl>
    <w:lvl w:ilvl="6" w:tplc="14C66198">
      <w:start w:val="1"/>
      <w:numFmt w:val="bullet"/>
      <w:lvlText w:val=""/>
      <w:lvlJc w:val="left"/>
      <w:pPr>
        <w:ind w:left="5400" w:hanging="359"/>
      </w:pPr>
      <w:rPr>
        <w:rFonts w:ascii="Symbol" w:hAnsi="Symbol" w:hint="default"/>
      </w:rPr>
    </w:lvl>
    <w:lvl w:ilvl="7" w:tplc="8D767498">
      <w:start w:val="1"/>
      <w:numFmt w:val="bullet"/>
      <w:lvlText w:val="o"/>
      <w:lvlJc w:val="left"/>
      <w:pPr>
        <w:ind w:left="6120" w:hanging="359"/>
      </w:pPr>
      <w:rPr>
        <w:rFonts w:ascii="Courier New" w:hAnsi="Courier New" w:cs="Courier New" w:hint="default"/>
      </w:rPr>
    </w:lvl>
    <w:lvl w:ilvl="8" w:tplc="7764B780">
      <w:start w:val="1"/>
      <w:numFmt w:val="bullet"/>
      <w:lvlText w:val=""/>
      <w:lvlJc w:val="left"/>
      <w:pPr>
        <w:ind w:left="6840" w:hanging="359"/>
      </w:pPr>
      <w:rPr>
        <w:rFonts w:ascii="Wingdings" w:hAnsi="Wingdings" w:hint="default"/>
      </w:rPr>
    </w:lvl>
  </w:abstractNum>
  <w:abstractNum w:abstractNumId="11" w15:restartNumberingAfterBreak="0">
    <w:nsid w:val="5FDF46CC"/>
    <w:multiLevelType w:val="hybridMultilevel"/>
    <w:tmpl w:val="7B9C9642"/>
    <w:lvl w:ilvl="0" w:tplc="CDC23A84">
      <w:start w:val="1"/>
      <w:numFmt w:val="bullet"/>
      <w:lvlText w:val=""/>
      <w:lvlJc w:val="left"/>
      <w:pPr>
        <w:tabs>
          <w:tab w:val="left" w:pos="720"/>
        </w:tabs>
        <w:ind w:left="720" w:hanging="359"/>
      </w:pPr>
      <w:rPr>
        <w:rFonts w:ascii="Symbol" w:hAnsi="Symbol" w:hint="default"/>
        <w:sz w:val="20"/>
      </w:rPr>
    </w:lvl>
    <w:lvl w:ilvl="1" w:tplc="62CA397A">
      <w:start w:val="1"/>
      <w:numFmt w:val="bullet"/>
      <w:lvlText w:val="o"/>
      <w:lvlJc w:val="left"/>
      <w:pPr>
        <w:tabs>
          <w:tab w:val="left" w:pos="1440"/>
        </w:tabs>
        <w:ind w:left="1440" w:hanging="359"/>
      </w:pPr>
      <w:rPr>
        <w:rFonts w:ascii="Courier New" w:hAnsi="Courier New" w:hint="default"/>
        <w:sz w:val="20"/>
      </w:rPr>
    </w:lvl>
    <w:lvl w:ilvl="2" w:tplc="6DF0ED7E">
      <w:start w:val="1"/>
      <w:numFmt w:val="bullet"/>
      <w:lvlText w:val=""/>
      <w:lvlJc w:val="left"/>
      <w:pPr>
        <w:tabs>
          <w:tab w:val="left" w:pos="2160"/>
        </w:tabs>
        <w:ind w:left="2160" w:hanging="359"/>
      </w:pPr>
      <w:rPr>
        <w:rFonts w:ascii="Wingdings" w:hAnsi="Wingdings" w:hint="default"/>
        <w:sz w:val="20"/>
      </w:rPr>
    </w:lvl>
    <w:lvl w:ilvl="3" w:tplc="7F94F404">
      <w:start w:val="1"/>
      <w:numFmt w:val="bullet"/>
      <w:lvlText w:val=""/>
      <w:lvlJc w:val="left"/>
      <w:pPr>
        <w:tabs>
          <w:tab w:val="left" w:pos="2880"/>
        </w:tabs>
        <w:ind w:left="2880" w:hanging="359"/>
      </w:pPr>
      <w:rPr>
        <w:rFonts w:ascii="Wingdings" w:hAnsi="Wingdings" w:hint="default"/>
        <w:sz w:val="20"/>
      </w:rPr>
    </w:lvl>
    <w:lvl w:ilvl="4" w:tplc="D1FC2878">
      <w:start w:val="1"/>
      <w:numFmt w:val="bullet"/>
      <w:lvlText w:val=""/>
      <w:lvlJc w:val="left"/>
      <w:pPr>
        <w:tabs>
          <w:tab w:val="left" w:pos="3600"/>
        </w:tabs>
        <w:ind w:left="3600" w:hanging="359"/>
      </w:pPr>
      <w:rPr>
        <w:rFonts w:ascii="Wingdings" w:hAnsi="Wingdings" w:hint="default"/>
        <w:sz w:val="20"/>
      </w:rPr>
    </w:lvl>
    <w:lvl w:ilvl="5" w:tplc="FEDE375E">
      <w:start w:val="1"/>
      <w:numFmt w:val="bullet"/>
      <w:lvlText w:val=""/>
      <w:lvlJc w:val="left"/>
      <w:pPr>
        <w:tabs>
          <w:tab w:val="left" w:pos="4320"/>
        </w:tabs>
        <w:ind w:left="4320" w:hanging="359"/>
      </w:pPr>
      <w:rPr>
        <w:rFonts w:ascii="Wingdings" w:hAnsi="Wingdings" w:hint="default"/>
        <w:sz w:val="20"/>
      </w:rPr>
    </w:lvl>
    <w:lvl w:ilvl="6" w:tplc="75D00B3A">
      <w:start w:val="1"/>
      <w:numFmt w:val="bullet"/>
      <w:lvlText w:val=""/>
      <w:lvlJc w:val="left"/>
      <w:pPr>
        <w:tabs>
          <w:tab w:val="left" w:pos="5040"/>
        </w:tabs>
        <w:ind w:left="5040" w:hanging="359"/>
      </w:pPr>
      <w:rPr>
        <w:rFonts w:ascii="Wingdings" w:hAnsi="Wingdings" w:hint="default"/>
        <w:sz w:val="20"/>
      </w:rPr>
    </w:lvl>
    <w:lvl w:ilvl="7" w:tplc="344A4CD2">
      <w:start w:val="1"/>
      <w:numFmt w:val="bullet"/>
      <w:lvlText w:val=""/>
      <w:lvlJc w:val="left"/>
      <w:pPr>
        <w:tabs>
          <w:tab w:val="left" w:pos="5760"/>
        </w:tabs>
        <w:ind w:left="5760" w:hanging="359"/>
      </w:pPr>
      <w:rPr>
        <w:rFonts w:ascii="Wingdings" w:hAnsi="Wingdings" w:hint="default"/>
        <w:sz w:val="20"/>
      </w:rPr>
    </w:lvl>
    <w:lvl w:ilvl="8" w:tplc="84A666EC">
      <w:start w:val="1"/>
      <w:numFmt w:val="bullet"/>
      <w:lvlText w:val=""/>
      <w:lvlJc w:val="left"/>
      <w:pPr>
        <w:tabs>
          <w:tab w:val="left" w:pos="6480"/>
        </w:tabs>
        <w:ind w:left="6480" w:hanging="359"/>
      </w:pPr>
      <w:rPr>
        <w:rFonts w:ascii="Wingdings" w:hAnsi="Wingdings" w:hint="default"/>
        <w:sz w:val="20"/>
      </w:rPr>
    </w:lvl>
  </w:abstractNum>
  <w:abstractNum w:abstractNumId="12" w15:restartNumberingAfterBreak="0">
    <w:nsid w:val="656C1B13"/>
    <w:multiLevelType w:val="hybridMultilevel"/>
    <w:tmpl w:val="CD7EDBDE"/>
    <w:lvl w:ilvl="0" w:tplc="4D508388">
      <w:start w:val="1"/>
      <w:numFmt w:val="bullet"/>
      <w:lvlText w:val=""/>
      <w:lvlJc w:val="left"/>
      <w:pPr>
        <w:ind w:left="720" w:hanging="359"/>
      </w:pPr>
      <w:rPr>
        <w:rFonts w:ascii="Symbol" w:hAnsi="Symbol" w:hint="default"/>
      </w:rPr>
    </w:lvl>
    <w:lvl w:ilvl="1" w:tplc="8DA6A8EC">
      <w:start w:val="1"/>
      <w:numFmt w:val="bullet"/>
      <w:lvlText w:val="o"/>
      <w:lvlJc w:val="left"/>
      <w:pPr>
        <w:ind w:left="1440" w:hanging="359"/>
      </w:pPr>
      <w:rPr>
        <w:rFonts w:ascii="Courier New" w:hAnsi="Courier New" w:cs="Courier New" w:hint="default"/>
      </w:rPr>
    </w:lvl>
    <w:lvl w:ilvl="2" w:tplc="12FCBB82">
      <w:start w:val="1"/>
      <w:numFmt w:val="bullet"/>
      <w:lvlText w:val=""/>
      <w:lvlJc w:val="left"/>
      <w:pPr>
        <w:ind w:left="2160" w:hanging="359"/>
      </w:pPr>
      <w:rPr>
        <w:rFonts w:ascii="Wingdings" w:hAnsi="Wingdings" w:hint="default"/>
      </w:rPr>
    </w:lvl>
    <w:lvl w:ilvl="3" w:tplc="F2EAC1FA">
      <w:start w:val="1"/>
      <w:numFmt w:val="bullet"/>
      <w:lvlText w:val=""/>
      <w:lvlJc w:val="left"/>
      <w:pPr>
        <w:ind w:left="2880" w:hanging="359"/>
      </w:pPr>
      <w:rPr>
        <w:rFonts w:ascii="Symbol" w:hAnsi="Symbol" w:hint="default"/>
      </w:rPr>
    </w:lvl>
    <w:lvl w:ilvl="4" w:tplc="3BA6B914">
      <w:start w:val="1"/>
      <w:numFmt w:val="bullet"/>
      <w:lvlText w:val="o"/>
      <w:lvlJc w:val="left"/>
      <w:pPr>
        <w:ind w:left="3600" w:hanging="359"/>
      </w:pPr>
      <w:rPr>
        <w:rFonts w:ascii="Courier New" w:hAnsi="Courier New" w:cs="Courier New" w:hint="default"/>
      </w:rPr>
    </w:lvl>
    <w:lvl w:ilvl="5" w:tplc="D4BCCEE2">
      <w:start w:val="1"/>
      <w:numFmt w:val="bullet"/>
      <w:lvlText w:val=""/>
      <w:lvlJc w:val="left"/>
      <w:pPr>
        <w:ind w:left="4320" w:hanging="359"/>
      </w:pPr>
      <w:rPr>
        <w:rFonts w:ascii="Wingdings" w:hAnsi="Wingdings" w:hint="default"/>
      </w:rPr>
    </w:lvl>
    <w:lvl w:ilvl="6" w:tplc="2A5A0E60">
      <w:start w:val="1"/>
      <w:numFmt w:val="bullet"/>
      <w:lvlText w:val=""/>
      <w:lvlJc w:val="left"/>
      <w:pPr>
        <w:ind w:left="5040" w:hanging="359"/>
      </w:pPr>
      <w:rPr>
        <w:rFonts w:ascii="Symbol" w:hAnsi="Symbol" w:hint="default"/>
      </w:rPr>
    </w:lvl>
    <w:lvl w:ilvl="7" w:tplc="E01046B4">
      <w:start w:val="1"/>
      <w:numFmt w:val="bullet"/>
      <w:lvlText w:val="o"/>
      <w:lvlJc w:val="left"/>
      <w:pPr>
        <w:ind w:left="5760" w:hanging="359"/>
      </w:pPr>
      <w:rPr>
        <w:rFonts w:ascii="Courier New" w:hAnsi="Courier New" w:cs="Courier New" w:hint="default"/>
      </w:rPr>
    </w:lvl>
    <w:lvl w:ilvl="8" w:tplc="EA58B91C">
      <w:start w:val="1"/>
      <w:numFmt w:val="bullet"/>
      <w:lvlText w:val=""/>
      <w:lvlJc w:val="left"/>
      <w:pPr>
        <w:ind w:left="6480" w:hanging="359"/>
      </w:pPr>
      <w:rPr>
        <w:rFonts w:ascii="Wingdings" w:hAnsi="Wingdings" w:hint="default"/>
      </w:rPr>
    </w:lvl>
  </w:abstractNum>
  <w:abstractNum w:abstractNumId="13" w15:restartNumberingAfterBreak="0">
    <w:nsid w:val="6CD74D59"/>
    <w:multiLevelType w:val="hybridMultilevel"/>
    <w:tmpl w:val="40906016"/>
    <w:lvl w:ilvl="0" w:tplc="80F25C24">
      <w:start w:val="1"/>
      <w:numFmt w:val="lowerLetter"/>
      <w:lvlText w:val="%1)"/>
      <w:lvlJc w:val="left"/>
      <w:pPr>
        <w:ind w:left="720" w:hanging="359"/>
      </w:pPr>
      <w:rPr>
        <w:rFonts w:hint="default"/>
      </w:rPr>
    </w:lvl>
    <w:lvl w:ilvl="1" w:tplc="633C4ACC">
      <w:start w:val="1"/>
      <w:numFmt w:val="lowerLetter"/>
      <w:lvlText w:val="%2."/>
      <w:lvlJc w:val="left"/>
      <w:pPr>
        <w:ind w:left="1440" w:hanging="359"/>
      </w:pPr>
    </w:lvl>
    <w:lvl w:ilvl="2" w:tplc="F6560064">
      <w:start w:val="1"/>
      <w:numFmt w:val="lowerRoman"/>
      <w:lvlText w:val="%3."/>
      <w:lvlJc w:val="right"/>
      <w:pPr>
        <w:ind w:left="2160" w:hanging="179"/>
      </w:pPr>
    </w:lvl>
    <w:lvl w:ilvl="3" w:tplc="66B6CF66">
      <w:start w:val="1"/>
      <w:numFmt w:val="decimal"/>
      <w:lvlText w:val="%4."/>
      <w:lvlJc w:val="left"/>
      <w:pPr>
        <w:ind w:left="2880" w:hanging="359"/>
      </w:pPr>
    </w:lvl>
    <w:lvl w:ilvl="4" w:tplc="34423226">
      <w:start w:val="1"/>
      <w:numFmt w:val="lowerLetter"/>
      <w:lvlText w:val="%5."/>
      <w:lvlJc w:val="left"/>
      <w:pPr>
        <w:ind w:left="3600" w:hanging="359"/>
      </w:pPr>
    </w:lvl>
    <w:lvl w:ilvl="5" w:tplc="6D4ED96A">
      <w:start w:val="1"/>
      <w:numFmt w:val="lowerRoman"/>
      <w:lvlText w:val="%6."/>
      <w:lvlJc w:val="right"/>
      <w:pPr>
        <w:ind w:left="4320" w:hanging="179"/>
      </w:pPr>
    </w:lvl>
    <w:lvl w:ilvl="6" w:tplc="6DB05AA8">
      <w:start w:val="1"/>
      <w:numFmt w:val="decimal"/>
      <w:lvlText w:val="%7."/>
      <w:lvlJc w:val="left"/>
      <w:pPr>
        <w:ind w:left="5040" w:hanging="359"/>
      </w:pPr>
    </w:lvl>
    <w:lvl w:ilvl="7" w:tplc="5B4E1FD2">
      <w:start w:val="1"/>
      <w:numFmt w:val="lowerLetter"/>
      <w:lvlText w:val="%8."/>
      <w:lvlJc w:val="left"/>
      <w:pPr>
        <w:ind w:left="5760" w:hanging="359"/>
      </w:pPr>
    </w:lvl>
    <w:lvl w:ilvl="8" w:tplc="FC78246A">
      <w:start w:val="1"/>
      <w:numFmt w:val="lowerRoman"/>
      <w:lvlText w:val="%9."/>
      <w:lvlJc w:val="right"/>
      <w:pPr>
        <w:ind w:left="6480" w:hanging="179"/>
      </w:pPr>
    </w:lvl>
  </w:abstractNum>
  <w:abstractNum w:abstractNumId="14" w15:restartNumberingAfterBreak="0">
    <w:nsid w:val="738623BA"/>
    <w:multiLevelType w:val="hybridMultilevel"/>
    <w:tmpl w:val="B192AFC2"/>
    <w:lvl w:ilvl="0" w:tplc="2EA4A304">
      <w:start w:val="1"/>
      <w:numFmt w:val="bullet"/>
      <w:lvlText w:val=""/>
      <w:lvlJc w:val="left"/>
      <w:pPr>
        <w:ind w:left="720" w:hanging="359"/>
      </w:pPr>
      <w:rPr>
        <w:rFonts w:ascii="Symbol" w:hAnsi="Symbol" w:hint="default"/>
      </w:rPr>
    </w:lvl>
    <w:lvl w:ilvl="1" w:tplc="42D43E64">
      <w:start w:val="1"/>
      <w:numFmt w:val="bullet"/>
      <w:lvlText w:val="o"/>
      <w:lvlJc w:val="left"/>
      <w:pPr>
        <w:ind w:left="1440" w:hanging="359"/>
      </w:pPr>
      <w:rPr>
        <w:rFonts w:ascii="Courier New" w:hAnsi="Courier New" w:cs="Courier New" w:hint="default"/>
      </w:rPr>
    </w:lvl>
    <w:lvl w:ilvl="2" w:tplc="D7EE4212">
      <w:start w:val="1"/>
      <w:numFmt w:val="bullet"/>
      <w:lvlText w:val=""/>
      <w:lvlJc w:val="left"/>
      <w:pPr>
        <w:ind w:left="2160" w:hanging="359"/>
      </w:pPr>
      <w:rPr>
        <w:rFonts w:ascii="Wingdings" w:hAnsi="Wingdings" w:hint="default"/>
      </w:rPr>
    </w:lvl>
    <w:lvl w:ilvl="3" w:tplc="343C41AE">
      <w:start w:val="1"/>
      <w:numFmt w:val="bullet"/>
      <w:lvlText w:val=""/>
      <w:lvlJc w:val="left"/>
      <w:pPr>
        <w:ind w:left="2880" w:hanging="359"/>
      </w:pPr>
      <w:rPr>
        <w:rFonts w:ascii="Symbol" w:hAnsi="Symbol" w:hint="default"/>
      </w:rPr>
    </w:lvl>
    <w:lvl w:ilvl="4" w:tplc="034CFA92">
      <w:start w:val="1"/>
      <w:numFmt w:val="bullet"/>
      <w:lvlText w:val="o"/>
      <w:lvlJc w:val="left"/>
      <w:pPr>
        <w:ind w:left="3600" w:hanging="359"/>
      </w:pPr>
      <w:rPr>
        <w:rFonts w:ascii="Courier New" w:hAnsi="Courier New" w:cs="Courier New" w:hint="default"/>
      </w:rPr>
    </w:lvl>
    <w:lvl w:ilvl="5" w:tplc="49B2C81E">
      <w:start w:val="1"/>
      <w:numFmt w:val="bullet"/>
      <w:lvlText w:val=""/>
      <w:lvlJc w:val="left"/>
      <w:pPr>
        <w:ind w:left="4320" w:hanging="359"/>
      </w:pPr>
      <w:rPr>
        <w:rFonts w:ascii="Wingdings" w:hAnsi="Wingdings" w:hint="default"/>
      </w:rPr>
    </w:lvl>
    <w:lvl w:ilvl="6" w:tplc="C98460C2">
      <w:start w:val="1"/>
      <w:numFmt w:val="bullet"/>
      <w:lvlText w:val=""/>
      <w:lvlJc w:val="left"/>
      <w:pPr>
        <w:ind w:left="5040" w:hanging="359"/>
      </w:pPr>
      <w:rPr>
        <w:rFonts w:ascii="Symbol" w:hAnsi="Symbol" w:hint="default"/>
      </w:rPr>
    </w:lvl>
    <w:lvl w:ilvl="7" w:tplc="665431C2">
      <w:start w:val="1"/>
      <w:numFmt w:val="bullet"/>
      <w:lvlText w:val="o"/>
      <w:lvlJc w:val="left"/>
      <w:pPr>
        <w:ind w:left="5760" w:hanging="359"/>
      </w:pPr>
      <w:rPr>
        <w:rFonts w:ascii="Courier New" w:hAnsi="Courier New" w:cs="Courier New" w:hint="default"/>
      </w:rPr>
    </w:lvl>
    <w:lvl w:ilvl="8" w:tplc="3CBED97C">
      <w:start w:val="1"/>
      <w:numFmt w:val="bullet"/>
      <w:lvlText w:val=""/>
      <w:lvlJc w:val="left"/>
      <w:pPr>
        <w:ind w:left="6480" w:hanging="359"/>
      </w:pPr>
      <w:rPr>
        <w:rFonts w:ascii="Wingdings" w:hAnsi="Wingdings" w:hint="default"/>
      </w:rPr>
    </w:lvl>
  </w:abstractNum>
  <w:abstractNum w:abstractNumId="15" w15:restartNumberingAfterBreak="0">
    <w:nsid w:val="74897C8E"/>
    <w:multiLevelType w:val="hybridMultilevel"/>
    <w:tmpl w:val="472E2DDC"/>
    <w:lvl w:ilvl="0" w:tplc="A5B2370A">
      <w:start w:val="1"/>
      <w:numFmt w:val="bullet"/>
      <w:lvlText w:val=""/>
      <w:lvlJc w:val="left"/>
      <w:pPr>
        <w:ind w:left="720" w:hanging="358"/>
      </w:pPr>
      <w:rPr>
        <w:rFonts w:ascii="Symbol" w:hAnsi="Symbol" w:hint="default"/>
      </w:rPr>
    </w:lvl>
    <w:lvl w:ilvl="1" w:tplc="C3AE7D74">
      <w:start w:val="1"/>
      <w:numFmt w:val="bullet"/>
      <w:lvlText w:val="o"/>
      <w:lvlJc w:val="left"/>
      <w:pPr>
        <w:ind w:left="1440" w:hanging="358"/>
      </w:pPr>
      <w:rPr>
        <w:rFonts w:ascii="Courier New" w:hAnsi="Courier New" w:cs="Courier New" w:hint="default"/>
      </w:rPr>
    </w:lvl>
    <w:lvl w:ilvl="2" w:tplc="42C034FE">
      <w:start w:val="1"/>
      <w:numFmt w:val="bullet"/>
      <w:lvlText w:val=""/>
      <w:lvlJc w:val="left"/>
      <w:pPr>
        <w:ind w:left="2160" w:hanging="358"/>
      </w:pPr>
      <w:rPr>
        <w:rFonts w:ascii="Wingdings" w:hAnsi="Wingdings" w:hint="default"/>
      </w:rPr>
    </w:lvl>
    <w:lvl w:ilvl="3" w:tplc="44FA75A8">
      <w:start w:val="1"/>
      <w:numFmt w:val="bullet"/>
      <w:lvlText w:val=""/>
      <w:lvlJc w:val="left"/>
      <w:pPr>
        <w:ind w:left="2880" w:hanging="358"/>
      </w:pPr>
      <w:rPr>
        <w:rFonts w:ascii="Symbol" w:hAnsi="Symbol" w:hint="default"/>
      </w:rPr>
    </w:lvl>
    <w:lvl w:ilvl="4" w:tplc="0B0E7060">
      <w:start w:val="1"/>
      <w:numFmt w:val="bullet"/>
      <w:lvlText w:val="o"/>
      <w:lvlJc w:val="left"/>
      <w:pPr>
        <w:ind w:left="3600" w:hanging="358"/>
      </w:pPr>
      <w:rPr>
        <w:rFonts w:ascii="Courier New" w:hAnsi="Courier New" w:cs="Courier New" w:hint="default"/>
      </w:rPr>
    </w:lvl>
    <w:lvl w:ilvl="5" w:tplc="9A4CDE66">
      <w:start w:val="1"/>
      <w:numFmt w:val="bullet"/>
      <w:lvlText w:val=""/>
      <w:lvlJc w:val="left"/>
      <w:pPr>
        <w:ind w:left="4320" w:hanging="358"/>
      </w:pPr>
      <w:rPr>
        <w:rFonts w:ascii="Wingdings" w:hAnsi="Wingdings" w:hint="default"/>
      </w:rPr>
    </w:lvl>
    <w:lvl w:ilvl="6" w:tplc="AAD4F09E">
      <w:start w:val="1"/>
      <w:numFmt w:val="bullet"/>
      <w:lvlText w:val=""/>
      <w:lvlJc w:val="left"/>
      <w:pPr>
        <w:ind w:left="5040" w:hanging="358"/>
      </w:pPr>
      <w:rPr>
        <w:rFonts w:ascii="Symbol" w:hAnsi="Symbol" w:hint="default"/>
      </w:rPr>
    </w:lvl>
    <w:lvl w:ilvl="7" w:tplc="773A7732">
      <w:start w:val="1"/>
      <w:numFmt w:val="bullet"/>
      <w:lvlText w:val="o"/>
      <w:lvlJc w:val="left"/>
      <w:pPr>
        <w:ind w:left="5760" w:hanging="358"/>
      </w:pPr>
      <w:rPr>
        <w:rFonts w:ascii="Courier New" w:hAnsi="Courier New" w:cs="Courier New" w:hint="default"/>
      </w:rPr>
    </w:lvl>
    <w:lvl w:ilvl="8" w:tplc="1548DAD6">
      <w:start w:val="1"/>
      <w:numFmt w:val="bullet"/>
      <w:lvlText w:val=""/>
      <w:lvlJc w:val="left"/>
      <w:pPr>
        <w:ind w:left="6480" w:hanging="358"/>
      </w:pPr>
      <w:rPr>
        <w:rFonts w:ascii="Wingdings" w:hAnsi="Wingdings" w:hint="default"/>
      </w:rPr>
    </w:lvl>
  </w:abstractNum>
  <w:abstractNum w:abstractNumId="16" w15:restartNumberingAfterBreak="0">
    <w:nsid w:val="74FE7885"/>
    <w:multiLevelType w:val="hybridMultilevel"/>
    <w:tmpl w:val="8D403D3E"/>
    <w:lvl w:ilvl="0" w:tplc="E9AC2DE4">
      <w:start w:val="1"/>
      <w:numFmt w:val="bullet"/>
      <w:lvlText w:val=""/>
      <w:lvlJc w:val="left"/>
      <w:pPr>
        <w:ind w:left="720" w:hanging="359"/>
      </w:pPr>
      <w:rPr>
        <w:rFonts w:ascii="Symbol" w:hAnsi="Symbol" w:hint="default"/>
      </w:rPr>
    </w:lvl>
    <w:lvl w:ilvl="1" w:tplc="FCD29718">
      <w:start w:val="1"/>
      <w:numFmt w:val="bullet"/>
      <w:lvlText w:val="o"/>
      <w:lvlJc w:val="left"/>
      <w:pPr>
        <w:ind w:left="1440" w:hanging="359"/>
      </w:pPr>
      <w:rPr>
        <w:rFonts w:ascii="Courier New" w:hAnsi="Courier New" w:cs="Courier New" w:hint="default"/>
      </w:rPr>
    </w:lvl>
    <w:lvl w:ilvl="2" w:tplc="0DFA6BA0">
      <w:start w:val="1"/>
      <w:numFmt w:val="bullet"/>
      <w:lvlText w:val=""/>
      <w:lvlJc w:val="left"/>
      <w:pPr>
        <w:ind w:left="2160" w:hanging="359"/>
      </w:pPr>
      <w:rPr>
        <w:rFonts w:ascii="Wingdings" w:hAnsi="Wingdings" w:hint="default"/>
      </w:rPr>
    </w:lvl>
    <w:lvl w:ilvl="3" w:tplc="46D0F6D8">
      <w:start w:val="1"/>
      <w:numFmt w:val="bullet"/>
      <w:lvlText w:val=""/>
      <w:lvlJc w:val="left"/>
      <w:pPr>
        <w:ind w:left="2880" w:hanging="359"/>
      </w:pPr>
      <w:rPr>
        <w:rFonts w:ascii="Symbol" w:hAnsi="Symbol" w:hint="default"/>
      </w:rPr>
    </w:lvl>
    <w:lvl w:ilvl="4" w:tplc="678A9B2E">
      <w:start w:val="1"/>
      <w:numFmt w:val="bullet"/>
      <w:lvlText w:val="o"/>
      <w:lvlJc w:val="left"/>
      <w:pPr>
        <w:ind w:left="3600" w:hanging="359"/>
      </w:pPr>
      <w:rPr>
        <w:rFonts w:ascii="Courier New" w:hAnsi="Courier New" w:cs="Courier New" w:hint="default"/>
      </w:rPr>
    </w:lvl>
    <w:lvl w:ilvl="5" w:tplc="CDC0E52C">
      <w:start w:val="1"/>
      <w:numFmt w:val="bullet"/>
      <w:lvlText w:val=""/>
      <w:lvlJc w:val="left"/>
      <w:pPr>
        <w:ind w:left="4320" w:hanging="359"/>
      </w:pPr>
      <w:rPr>
        <w:rFonts w:ascii="Wingdings" w:hAnsi="Wingdings" w:hint="default"/>
      </w:rPr>
    </w:lvl>
    <w:lvl w:ilvl="6" w:tplc="61348C50">
      <w:start w:val="1"/>
      <w:numFmt w:val="bullet"/>
      <w:lvlText w:val=""/>
      <w:lvlJc w:val="left"/>
      <w:pPr>
        <w:ind w:left="5040" w:hanging="359"/>
      </w:pPr>
      <w:rPr>
        <w:rFonts w:ascii="Symbol" w:hAnsi="Symbol" w:hint="default"/>
      </w:rPr>
    </w:lvl>
    <w:lvl w:ilvl="7" w:tplc="581A5636">
      <w:start w:val="1"/>
      <w:numFmt w:val="bullet"/>
      <w:lvlText w:val="o"/>
      <w:lvlJc w:val="left"/>
      <w:pPr>
        <w:ind w:left="5760" w:hanging="359"/>
      </w:pPr>
      <w:rPr>
        <w:rFonts w:ascii="Courier New" w:hAnsi="Courier New" w:cs="Courier New" w:hint="default"/>
      </w:rPr>
    </w:lvl>
    <w:lvl w:ilvl="8" w:tplc="CC9CFE56">
      <w:start w:val="1"/>
      <w:numFmt w:val="bullet"/>
      <w:lvlText w:val=""/>
      <w:lvlJc w:val="left"/>
      <w:pPr>
        <w:ind w:left="6480" w:hanging="359"/>
      </w:pPr>
      <w:rPr>
        <w:rFonts w:ascii="Wingdings" w:hAnsi="Wingdings" w:hint="default"/>
      </w:rPr>
    </w:lvl>
  </w:abstractNum>
  <w:num w:numId="1">
    <w:abstractNumId w:val="8"/>
  </w:num>
  <w:num w:numId="2">
    <w:abstractNumId w:val="5"/>
  </w:num>
  <w:num w:numId="3">
    <w:abstractNumId w:val="2"/>
  </w:num>
  <w:num w:numId="4">
    <w:abstractNumId w:val="6"/>
  </w:num>
  <w:num w:numId="5">
    <w:abstractNumId w:val="0"/>
  </w:num>
  <w:num w:numId="6">
    <w:abstractNumId w:val="3"/>
  </w:num>
  <w:num w:numId="7">
    <w:abstractNumId w:val="7"/>
  </w:num>
  <w:num w:numId="8">
    <w:abstractNumId w:val="14"/>
  </w:num>
  <w:num w:numId="9">
    <w:abstractNumId w:val="15"/>
  </w:num>
  <w:num w:numId="10">
    <w:abstractNumId w:val="13"/>
  </w:num>
  <w:num w:numId="11">
    <w:abstractNumId w:val="4"/>
  </w:num>
  <w:num w:numId="12">
    <w:abstractNumId w:val="16"/>
  </w:num>
  <w:num w:numId="13">
    <w:abstractNumId w:val="9"/>
  </w:num>
  <w:num w:numId="14">
    <w:abstractNumId w:val="10"/>
  </w:num>
  <w:num w:numId="15">
    <w:abstractNumId w:val="1"/>
  </w:num>
  <w:num w:numId="16">
    <w:abstractNumId w:val="1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593"/>
    <w:rsid w:val="001731D6"/>
    <w:rsid w:val="001F08E7"/>
    <w:rsid w:val="00286E3E"/>
    <w:rsid w:val="0037511C"/>
    <w:rsid w:val="00457184"/>
    <w:rsid w:val="00A95593"/>
    <w:rsid w:val="00B573F1"/>
    <w:rsid w:val="00B6663C"/>
    <w:rsid w:val="00B937DD"/>
    <w:rsid w:val="00BC74AA"/>
    <w:rsid w:val="00DD6E7C"/>
    <w:rsid w:val="00EF6494"/>
    <w:rsid w:val="00F83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F77AA"/>
  <w15:docId w15:val="{67941628-32B3-4AD9-A966-BDC183CDF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wissReSans" w:eastAsia="Calibri" w:hAnsi="SwissReSans" w:cs="Calibri"/>
        <w:sz w:val="22"/>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uiPriority w:val="9"/>
    <w:qFormat/>
    <w:pPr>
      <w:keepNext/>
      <w:keepLines/>
      <w:spacing w:before="480" w:after="0"/>
      <w:outlineLvl w:val="0"/>
    </w:pPr>
    <w:rPr>
      <w:rFonts w:ascii="Arial" w:eastAsia="Arial" w:hAnsi="Arial" w:cs="Arial"/>
      <w:b/>
      <w:bCs/>
      <w:color w:val="000000" w:themeColor="text1"/>
      <w:sz w:val="48"/>
      <w:szCs w:val="48"/>
    </w:rPr>
  </w:style>
  <w:style w:type="paragraph" w:styleId="Heading2">
    <w:name w:val="heading 2"/>
    <w:basedOn w:val="Normal"/>
    <w:next w:val="Normal"/>
    <w:uiPriority w:val="9"/>
    <w:unhideWhenUsed/>
    <w:qFormat/>
    <w:pPr>
      <w:keepNext/>
      <w:keepLines/>
      <w:spacing w:before="200" w:after="0"/>
      <w:outlineLvl w:val="1"/>
    </w:pPr>
    <w:rPr>
      <w:rFonts w:ascii="Arial" w:eastAsia="Arial" w:hAnsi="Arial" w:cs="Arial"/>
      <w:b/>
      <w:bCs/>
      <w:color w:val="000000" w:themeColor="text1"/>
      <w:sz w:val="40"/>
    </w:rPr>
  </w:style>
  <w:style w:type="paragraph" w:styleId="Heading3">
    <w:name w:val="heading 3"/>
    <w:basedOn w:val="Normal"/>
    <w:next w:val="Normal"/>
    <w:uiPriority w:val="9"/>
    <w:unhideWhenUsed/>
    <w:qFormat/>
    <w:pPr>
      <w:keepNext/>
      <w:keepLines/>
      <w:spacing w:before="200" w:after="0"/>
      <w:outlineLvl w:val="2"/>
    </w:pPr>
    <w:rPr>
      <w:rFonts w:ascii="Arial" w:eastAsia="Arial" w:hAnsi="Arial" w:cs="Arial"/>
      <w:b/>
      <w:bCs/>
      <w:i/>
      <w:iCs/>
      <w:color w:val="000000" w:themeColor="text1"/>
      <w:sz w:val="36"/>
      <w:szCs w:val="36"/>
    </w:rPr>
  </w:style>
  <w:style w:type="paragraph" w:styleId="Heading4">
    <w:name w:val="heading 4"/>
    <w:basedOn w:val="Normal"/>
    <w:next w:val="Normal"/>
    <w:uiPriority w:val="9"/>
    <w:unhideWhenUsed/>
    <w:qFormat/>
    <w:pPr>
      <w:keepNext/>
      <w:keepLines/>
      <w:spacing w:before="200" w:after="0"/>
      <w:outlineLvl w:val="3"/>
    </w:pPr>
    <w:rPr>
      <w:rFonts w:ascii="Arial" w:eastAsia="Arial" w:hAnsi="Arial" w:cs="Arial"/>
      <w:color w:val="232323"/>
      <w:sz w:val="32"/>
      <w:szCs w:val="32"/>
    </w:rPr>
  </w:style>
  <w:style w:type="paragraph" w:styleId="Heading5">
    <w:name w:val="heading 5"/>
    <w:basedOn w:val="Normal"/>
    <w:next w:val="Normal"/>
    <w:uiPriority w:val="9"/>
    <w:unhideWhenUsed/>
    <w:qFormat/>
    <w:pPr>
      <w:keepNext/>
      <w:keepLines/>
      <w:spacing w:before="200" w:after="0"/>
      <w:outlineLvl w:val="4"/>
    </w:pPr>
    <w:rPr>
      <w:rFonts w:ascii="Arial" w:eastAsia="Arial" w:hAnsi="Arial" w:cs="Arial"/>
      <w:b/>
      <w:bCs/>
      <w:color w:val="444444"/>
      <w:sz w:val="28"/>
      <w:szCs w:val="28"/>
    </w:rPr>
  </w:style>
  <w:style w:type="paragraph" w:styleId="Heading6">
    <w:name w:val="heading 6"/>
    <w:basedOn w:val="Normal"/>
    <w:next w:val="Normal"/>
    <w:uiPriority w:val="9"/>
    <w:unhideWhenUsed/>
    <w:qFormat/>
    <w:pPr>
      <w:keepNext/>
      <w:keepLines/>
      <w:spacing w:before="200" w:after="0"/>
      <w:outlineLvl w:val="5"/>
    </w:pPr>
    <w:rPr>
      <w:rFonts w:ascii="Arial" w:eastAsia="Arial" w:hAnsi="Arial" w:cs="Arial"/>
      <w:i/>
      <w:iCs/>
      <w:color w:val="232323"/>
      <w:sz w:val="28"/>
      <w:szCs w:val="28"/>
    </w:rPr>
  </w:style>
  <w:style w:type="paragraph" w:styleId="Heading7">
    <w:name w:val="heading 7"/>
    <w:basedOn w:val="Normal"/>
    <w:next w:val="Normal"/>
    <w:uiPriority w:val="9"/>
    <w:unhideWhenUsed/>
    <w:qFormat/>
    <w:pPr>
      <w:keepNext/>
      <w:keepLines/>
      <w:spacing w:before="200" w:after="0"/>
      <w:outlineLvl w:val="6"/>
    </w:pPr>
    <w:rPr>
      <w:rFonts w:ascii="Arial" w:eastAsia="Arial" w:hAnsi="Arial" w:cs="Arial"/>
      <w:b/>
      <w:bCs/>
      <w:color w:val="606060"/>
      <w:sz w:val="24"/>
      <w:szCs w:val="24"/>
    </w:rPr>
  </w:style>
  <w:style w:type="paragraph" w:styleId="Heading8">
    <w:name w:val="heading 8"/>
    <w:basedOn w:val="Normal"/>
    <w:next w:val="Normal"/>
    <w:uiPriority w:val="9"/>
    <w:unhideWhenUsed/>
    <w:qFormat/>
    <w:pPr>
      <w:keepNext/>
      <w:keepLines/>
      <w:spacing w:before="200" w:after="0"/>
      <w:outlineLvl w:val="7"/>
    </w:pPr>
    <w:rPr>
      <w:rFonts w:ascii="Arial" w:eastAsia="Arial" w:hAnsi="Arial" w:cs="Arial"/>
      <w:color w:val="444444"/>
      <w:sz w:val="24"/>
      <w:szCs w:val="24"/>
    </w:rPr>
  </w:style>
  <w:style w:type="paragraph" w:styleId="Heading9">
    <w:name w:val="heading 9"/>
    <w:basedOn w:val="Normal"/>
    <w:next w:val="Normal"/>
    <w:uiPriority w:val="9"/>
    <w:unhideWhenUsed/>
    <w:qFormat/>
    <w:pPr>
      <w:keepNext/>
      <w:keepLines/>
      <w:spacing w:before="200" w:after="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pPr>
      <w:spacing w:after="0" w:line="240" w:lineRule="auto"/>
    </w:pPr>
    <w:rPr>
      <w:color w:val="000000"/>
    </w:rPr>
  </w:style>
  <w:style w:type="paragraph" w:styleId="Title">
    <w:name w:val="Title"/>
    <w:basedOn w:val="Normal"/>
    <w:next w:val="Normal"/>
    <w:uiPriority w:val="10"/>
    <w:qFormat/>
    <w:pPr>
      <w:pBdr>
        <w:bottom w:val="single" w:sz="24" w:space="0" w:color="000000"/>
      </w:pBdr>
      <w:spacing w:before="300" w:after="80" w:line="240" w:lineRule="auto"/>
    </w:pPr>
    <w:rPr>
      <w:b/>
      <w:color w:val="000000"/>
      <w:sz w:val="72"/>
    </w:rPr>
  </w:style>
  <w:style w:type="paragraph" w:styleId="Subtitle">
    <w:name w:val="Subtitle"/>
    <w:basedOn w:val="Normal"/>
    <w:next w:val="Normal"/>
    <w:uiPriority w:val="11"/>
    <w:qFormat/>
    <w:pPr>
      <w:spacing w:line="240" w:lineRule="auto"/>
    </w:pPr>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paragraph" w:styleId="Header">
    <w:name w:val="header"/>
    <w:basedOn w:val="Normal"/>
    <w:uiPriority w:val="99"/>
    <w:unhideWhenUsed/>
    <w:pPr>
      <w:tabs>
        <w:tab w:val="center" w:pos="7143"/>
        <w:tab w:val="right" w:pos="14287"/>
      </w:tabs>
      <w:spacing w:after="0" w:line="240" w:lineRule="auto"/>
    </w:pPr>
    <w:rPr>
      <w:color w:val="000000"/>
    </w:rPr>
  </w:style>
  <w:style w:type="paragraph" w:styleId="Footer">
    <w:name w:val="footer"/>
    <w:basedOn w:val="Normal"/>
    <w:uiPriority w:val="99"/>
    <w:unhideWhenUsed/>
    <w:pPr>
      <w:tabs>
        <w:tab w:val="center" w:pos="7143"/>
        <w:tab w:val="right" w:pos="14287"/>
      </w:tabs>
      <w:spacing w:after="0" w:line="240" w:lineRule="auto"/>
    </w:pPr>
    <w:rPr>
      <w:color w:val="000000"/>
    </w:rPr>
  </w:style>
  <w:style w:type="table" w:customStyle="1" w:styleId="Lined">
    <w:name w:val="Lined"/>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563C1" w:themeColor="hyperlink"/>
      <w:u w:val="single"/>
    </w:rPr>
  </w:style>
  <w:style w:type="paragraph" w:styleId="FootnoteText">
    <w:name w:val="footnote text"/>
    <w:basedOn w:val="Normal"/>
    <w:uiPriority w:val="99"/>
    <w:semiHidden/>
    <w:unhideWhenUsed/>
    <w:pPr>
      <w:spacing w:after="0" w:line="240" w:lineRule="auto"/>
    </w:pPr>
    <w:rPr>
      <w:sz w:val="20"/>
    </w:rPr>
  </w:style>
  <w:style w:type="character" w:customStyle="1" w:styleId="FootnoteTextChar">
    <w:name w:val="Footnote Text Char"/>
    <w:basedOn w:val="DefaultParagraphFont"/>
    <w:uiPriority w:val="99"/>
    <w:semiHidden/>
    <w:rPr>
      <w:sz w:val="20"/>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uiPriority w:val="99"/>
    <w:semiHidden/>
    <w:rPr>
      <w:rFonts w:ascii="Segoe UI" w:hAnsi="Segoe UI" w:cs="Segoe UI"/>
      <w:sz w:val="18"/>
      <w:szCs w:val="18"/>
      <w:lang w:val="en-GB"/>
    </w:rPr>
  </w:style>
  <w:style w:type="character" w:styleId="PlaceholderText">
    <w:name w:val="Placeholder Text"/>
    <w:basedOn w:val="DefaultParagraphFont"/>
    <w:uiPriority w:val="99"/>
    <w:semiHidden/>
    <w:rPr>
      <w:color w:val="80808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uiPriority w:val="99"/>
    <w:semiHidden/>
    <w:unhideWhenUsed/>
    <w:pPr>
      <w:spacing w:line="240" w:lineRule="auto"/>
    </w:pPr>
    <w:rPr>
      <w:sz w:val="20"/>
      <w:szCs w:val="20"/>
    </w:rPr>
  </w:style>
  <w:style w:type="character" w:customStyle="1" w:styleId="CommentTextChar">
    <w:name w:val="Comment Text Char"/>
    <w:basedOn w:val="DefaultParagraphFont"/>
    <w:uiPriority w:val="99"/>
    <w:semiHidden/>
    <w:rPr>
      <w:sz w:val="20"/>
      <w:szCs w:val="20"/>
      <w:lang w:val="en-GB"/>
    </w:rPr>
  </w:style>
  <w:style w:type="paragraph" w:styleId="CommentSubject">
    <w:name w:val="annotation subject"/>
    <w:basedOn w:val="CommentText"/>
    <w:next w:val="CommentText"/>
    <w:uiPriority w:val="99"/>
    <w:semiHidden/>
    <w:unhideWhenUsed/>
    <w:rPr>
      <w:b/>
      <w:bCs/>
    </w:rPr>
  </w:style>
  <w:style w:type="character" w:customStyle="1" w:styleId="CommentSubjectChar">
    <w:name w:val="Comment Subject Char"/>
    <w:basedOn w:val="CommentTextChar"/>
    <w:uiPriority w:val="99"/>
    <w:semiHidden/>
    <w:rPr>
      <w:b/>
      <w:bCs/>
      <w:sz w:val="20"/>
      <w:szCs w:val="20"/>
      <w:lang w:val="en-GB"/>
    </w:rPr>
  </w:style>
  <w:style w:type="paragraph" w:styleId="BodyText">
    <w:name w:val="Body Text"/>
    <w:basedOn w:val="Normal"/>
    <w:uiPriority w:val="1"/>
    <w:unhideWhenUsed/>
    <w:qFormat/>
    <w:pPr>
      <w:pBdr>
        <w:top w:val="none" w:sz="0" w:space="0" w:color="auto"/>
        <w:left w:val="none" w:sz="0" w:space="0" w:color="auto"/>
        <w:bottom w:val="none" w:sz="0" w:space="0" w:color="auto"/>
        <w:right w:val="none" w:sz="0" w:space="0" w:color="auto"/>
        <w:between w:val="none" w:sz="0" w:space="0" w:color="auto"/>
      </w:pBdr>
      <w:spacing w:after="120" w:line="240" w:lineRule="auto"/>
    </w:pPr>
    <w:rPr>
      <w:rFonts w:ascii="Times New Roman" w:hAnsi="Times New Roman" w:cs="Arial"/>
      <w:sz w:val="24"/>
      <w:szCs w:val="20"/>
      <w:lang w:eastAsia="zh-CN"/>
    </w:rPr>
  </w:style>
  <w:style w:type="character" w:customStyle="1" w:styleId="BodyTextChar">
    <w:name w:val="Body Text Char"/>
    <w:basedOn w:val="DefaultParagraphFont"/>
    <w:uiPriority w:val="1"/>
    <w:rPr>
      <w:rFonts w:ascii="Times New Roman" w:hAnsi="Times New Roman" w:cs="Arial"/>
      <w:sz w:val="24"/>
      <w:szCs w:val="20"/>
      <w:lang w:val="en-GB" w:eastAsia="zh-CN"/>
    </w:rPr>
  </w:style>
  <w:style w:type="paragraph" w:styleId="Revision">
    <w:name w:val="Revision"/>
    <w:hidden/>
    <w:uiPriority w:val="99"/>
    <w:semiHidden/>
    <w:rsid w:val="00B937DD"/>
    <w:pPr>
      <w:pBdr>
        <w:top w:val="none" w:sz="0" w:space="0" w:color="auto"/>
        <w:left w:val="none" w:sz="0" w:space="0" w:color="auto"/>
        <w:bottom w:val="none" w:sz="0" w:space="0" w:color="auto"/>
        <w:right w:val="none" w:sz="0" w:space="0" w:color="auto"/>
        <w:between w:val="none" w:sz="0" w:space="0" w:color="auto"/>
      </w:pBdr>
      <w:spacing w:after="0" w:line="240" w:lineRule="auto"/>
    </w:pPr>
    <w:rPr>
      <w:lang w:val="en-GB"/>
    </w:rPr>
  </w:style>
  <w:style w:type="character" w:customStyle="1" w:styleId="fontstyle01">
    <w:name w:val="fontstyle01"/>
    <w:basedOn w:val="DefaultParagraphFont"/>
    <w:rsid w:val="00F83CDD"/>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oleObject" Target="file:///C:\Users\alexa486\Downloads\222_CP2-P2_Model%20solution%20v5.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alexa486\Downloads\222_CP2-P2_Model%20solution%20v5.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alexa486\Downloads\222_CP2-P2_Model%20solution%20v5.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spc="0">
                <a:solidFill>
                  <a:schemeClr val="tx1">
                    <a:lumMod val="65000"/>
                    <a:lumOff val="35000"/>
                  </a:schemeClr>
                </a:solidFill>
                <a:latin typeface="+mn-lt"/>
                <a:ea typeface="+mn-ea"/>
              </a:defRPr>
            </a:pPr>
            <a:r>
              <a:rPr lang="en-GB"/>
              <a:t>Increase in value of remaining annuity payments</a:t>
            </a:r>
          </a:p>
        </c:rich>
      </c:tx>
      <c:overlay val="0"/>
      <c:spPr>
        <a:prstGeom prst="rect">
          <a:avLst/>
        </a:prstGeom>
        <a:noFill/>
        <a:ln>
          <a:noFill/>
        </a:ln>
      </c:spPr>
    </c:title>
    <c:autoTitleDeleted val="0"/>
    <c:plotArea>
      <c:layout/>
      <c:barChart>
        <c:barDir val="col"/>
        <c:grouping val="clustered"/>
        <c:varyColors val="0"/>
        <c:ser>
          <c:idx val="0"/>
          <c:order val="0"/>
          <c:spPr>
            <a:prstGeom prst="rect">
              <a:avLst/>
            </a:prstGeom>
            <a:solidFill>
              <a:schemeClr val="accent1"/>
            </a:solidFill>
            <a:ln>
              <a:noFill/>
            </a:ln>
          </c:spPr>
          <c:invertIfNegative val="0"/>
          <c:cat>
            <c:strRef>
              <c:f>(Charts!$F$6,Charts!$F$9,Charts!$F$12)</c:f>
              <c:strCache>
                <c:ptCount val="3"/>
                <c:pt idx="0">
                  <c:v>Increase in total value all annuities</c:v>
                </c:pt>
                <c:pt idx="1">
                  <c:v>Increase in total value all 5% p.a. increasing annuities</c:v>
                </c:pt>
                <c:pt idx="2">
                  <c:v>Increase in total value all 3% annuities</c:v>
                </c:pt>
              </c:strCache>
            </c:strRef>
          </c:cat>
          <c:val>
            <c:numRef>
              <c:f>(Charts!$G$6,Charts!$G$9,Charts!$G$12)</c:f>
              <c:numCache>
                <c:formatCode>0.00%</c:formatCode>
                <c:ptCount val="3"/>
                <c:pt idx="0">
                  <c:v>2.797972077686417E-2</c:v>
                </c:pt>
                <c:pt idx="1">
                  <c:v>9.4940213207883595E-3</c:v>
                </c:pt>
                <c:pt idx="2">
                  <c:v>5.2422052580327616E-2</c:v>
                </c:pt>
              </c:numCache>
            </c:numRef>
          </c:val>
          <c:extLst>
            <c:ext xmlns:c16="http://schemas.microsoft.com/office/drawing/2014/chart" uri="{C3380CC4-5D6E-409C-BE32-E72D297353CC}">
              <c16:uniqueId val="{00000000-1E22-4478-9B60-401A3E10FE63}"/>
            </c:ext>
          </c:extLst>
        </c:ser>
        <c:dLbls>
          <c:showLegendKey val="0"/>
          <c:showVal val="0"/>
          <c:showCatName val="0"/>
          <c:showSerName val="0"/>
          <c:showPercent val="0"/>
          <c:showBubbleSize val="0"/>
        </c:dLbls>
        <c:gapWidth val="219"/>
        <c:overlap val="-27"/>
        <c:axId val="269868543"/>
        <c:axId val="269870623"/>
      </c:barChart>
      <c:catAx>
        <c:axId val="269868543"/>
        <c:scaling>
          <c:orientation val="minMax"/>
        </c:scaling>
        <c:delete val="0"/>
        <c:axPos val="b"/>
        <c:numFmt formatCode="General" sourceLinked="1"/>
        <c:majorTickMark val="none"/>
        <c:minorTickMark val="none"/>
        <c:tickLblPos val="nextTo"/>
        <c:spPr>
          <a:prstGeom prst="rect">
            <a:avLst/>
          </a:prstGeom>
          <a:noFill/>
          <a:ln w="9525" cap="flat" cmpd="sng" algn="ctr">
            <a:solidFill>
              <a:schemeClr val="tx1">
                <a:lumMod val="15000"/>
                <a:lumOff val="85000"/>
              </a:schemeClr>
            </a:solidFill>
            <a:round/>
          </a:ln>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crossAx val="269870623"/>
        <c:crosses val="autoZero"/>
        <c:auto val="1"/>
        <c:lblAlgn val="ctr"/>
        <c:lblOffset val="100"/>
        <c:noMultiLvlLbl val="0"/>
      </c:catAx>
      <c:valAx>
        <c:axId val="269870623"/>
        <c:scaling>
          <c:orientation val="minMax"/>
        </c:scaling>
        <c:delete val="0"/>
        <c:axPos val="l"/>
        <c:majorGridlines>
          <c:spPr>
            <a:prstGeom prst="rect">
              <a:avLst/>
            </a:prstGeom>
            <a:ln w="9525" cap="flat" cmpd="sng" algn="ctr">
              <a:solidFill>
                <a:schemeClr val="tx1">
                  <a:lumMod val="15000"/>
                  <a:lumOff val="85000"/>
                </a:schemeClr>
              </a:solidFill>
              <a:round/>
            </a:ln>
          </c:spPr>
        </c:majorGridlines>
        <c:title>
          <c:tx>
            <c:rich>
              <a:bodyPr rot="-5400000" spcFirstLastPara="1" vertOverflow="ellipsis" vert="horz" wrap="square" anchor="ctr" anchorCtr="1"/>
              <a:lstStyle/>
              <a:p>
                <a:pPr>
                  <a:defRPr sz="1000" b="0" i="0" u="none" strike="noStrike">
                    <a:solidFill>
                      <a:schemeClr val="tx1">
                        <a:lumMod val="65000"/>
                        <a:lumOff val="35000"/>
                      </a:schemeClr>
                    </a:solidFill>
                    <a:latin typeface="+mn-lt"/>
                    <a:ea typeface="+mn-ea"/>
                  </a:defRPr>
                </a:pPr>
                <a:r>
                  <a:rPr lang="en-GB"/>
                  <a:t>Increase in value</a:t>
                </a:r>
              </a:p>
            </c:rich>
          </c:tx>
          <c:overlay val="0"/>
          <c:spPr>
            <a:prstGeom prst="rect">
              <a:avLst/>
            </a:prstGeom>
            <a:noFill/>
            <a:ln>
              <a:noFill/>
            </a:ln>
          </c:spPr>
        </c:title>
        <c:numFmt formatCode="0.00%" sourceLinked="1"/>
        <c:majorTickMark val="none"/>
        <c:minorTickMark val="none"/>
        <c:tickLblPos val="nextTo"/>
        <c:spPr>
          <a:prstGeom prst="rect">
            <a:avLst/>
          </a:prstGeom>
          <a:noFill/>
          <a:ln>
            <a:noFill/>
          </a:ln>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crossAx val="269868543"/>
        <c:crosses val="autoZero"/>
        <c:crossBetween val="between"/>
      </c:valAx>
      <c:spPr>
        <a:prstGeom prst="rect">
          <a:avLst/>
        </a:prstGeom>
        <a:noFill/>
        <a:ln>
          <a:noFill/>
        </a:ln>
      </c:spPr>
    </c:plotArea>
    <c:plotVisOnly val="1"/>
    <c:dispBlanksAs val="gap"/>
    <c:showDLblsOverMax val="0"/>
  </c:chart>
  <c:spPr>
    <a:prstGeom prst="rect">
      <a:avLst/>
    </a:prstGeom>
    <a:solidFill>
      <a:schemeClr val="bg1"/>
    </a:solidFill>
    <a:ln w="9525" cap="flat" cmpd="sng" algn="ctr">
      <a:solidFill>
        <a:schemeClr val="tx1">
          <a:lumMod val="15000"/>
          <a:lumOff val="85000"/>
        </a:schemeClr>
      </a:solidFill>
      <a:round/>
    </a:ln>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200" b="0" i="0" baseline="0">
                <a:effectLst/>
              </a:rPr>
              <a:t>Relationship between term of annuity remaining, proportion of annuity affected and percentage increase in amount p.a. at the end of the term due to amendment</a:t>
            </a:r>
            <a:endParaRPr lang="en-GB" sz="1200">
              <a:effectLst/>
            </a:endParaRPr>
          </a:p>
          <a:p>
            <a:pPr>
              <a:defRPr/>
            </a:pPr>
            <a:r>
              <a:rPr lang="en-GB" sz="1200" b="0" i="0" baseline="0">
                <a:effectLst/>
              </a:rPr>
              <a:t>3% p.a. increase annuitants</a:t>
            </a:r>
            <a:endParaRPr lang="en-GB" sz="12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1"/>
          <c:order val="0"/>
          <c:tx>
            <c:strRef>
              <c:f>Charts!$K$23</c:f>
              <c:strCache>
                <c:ptCount val="1"/>
                <c:pt idx="0">
                  <c:v>Percentage Increase in amount p.a. at end of term</c:v>
                </c:pt>
              </c:strCache>
            </c:strRef>
          </c:tx>
          <c:spPr>
            <a:ln w="28575" cap="rnd">
              <a:solidFill>
                <a:schemeClr val="accent2"/>
              </a:solidFill>
              <a:round/>
            </a:ln>
            <a:effectLst/>
          </c:spPr>
          <c:marker>
            <c:symbol val="none"/>
          </c:marker>
          <c:cat>
            <c:numRef>
              <c:f>Charts!$J$24:$J$43</c:f>
              <c:numCache>
                <c:formatCode>General</c:formatCode>
                <c:ptCount val="20"/>
                <c:pt idx="0">
                  <c:v>4</c:v>
                </c:pt>
                <c:pt idx="1">
                  <c:v>5</c:v>
                </c:pt>
                <c:pt idx="2">
                  <c:v>6</c:v>
                </c:pt>
                <c:pt idx="3">
                  <c:v>7</c:v>
                </c:pt>
                <c:pt idx="4">
                  <c:v>8</c:v>
                </c:pt>
                <c:pt idx="5">
                  <c:v>9</c:v>
                </c:pt>
                <c:pt idx="6">
                  <c:v>10</c:v>
                </c:pt>
                <c:pt idx="7">
                  <c:v>11</c:v>
                </c:pt>
                <c:pt idx="8">
                  <c:v>12</c:v>
                </c:pt>
                <c:pt idx="9">
                  <c:v>13</c:v>
                </c:pt>
                <c:pt idx="10">
                  <c:v>14</c:v>
                </c:pt>
                <c:pt idx="11">
                  <c:v>15</c:v>
                </c:pt>
                <c:pt idx="12">
                  <c:v>16</c:v>
                </c:pt>
                <c:pt idx="13">
                  <c:v>17</c:v>
                </c:pt>
                <c:pt idx="14">
                  <c:v>18</c:v>
                </c:pt>
                <c:pt idx="15">
                  <c:v>19</c:v>
                </c:pt>
                <c:pt idx="16">
                  <c:v>20</c:v>
                </c:pt>
                <c:pt idx="17">
                  <c:v>21</c:v>
                </c:pt>
                <c:pt idx="18">
                  <c:v>22</c:v>
                </c:pt>
                <c:pt idx="19">
                  <c:v>23</c:v>
                </c:pt>
              </c:numCache>
            </c:numRef>
          </c:cat>
          <c:val>
            <c:numRef>
              <c:f>Charts!$K$24:$K$43</c:f>
              <c:numCache>
                <c:formatCode>0.0%</c:formatCode>
                <c:ptCount val="20"/>
                <c:pt idx="0">
                  <c:v>6.6019086641977198E-2</c:v>
                </c:pt>
                <c:pt idx="1">
                  <c:v>4.6407219765440821E-2</c:v>
                </c:pt>
                <c:pt idx="2">
                  <c:v>5.3029357029401147E-2</c:v>
                </c:pt>
                <c:pt idx="3">
                  <c:v>5.1640342217312396E-2</c:v>
                </c:pt>
                <c:pt idx="4">
                  <c:v>5.5358373784275772E-2</c:v>
                </c:pt>
                <c:pt idx="5">
                  <c:v>7.2059264345763374E-2</c:v>
                </c:pt>
                <c:pt idx="6">
                  <c:v>9.70855604304941E-2</c:v>
                </c:pt>
                <c:pt idx="7">
                  <c:v>4.2797843243577383E-2</c:v>
                </c:pt>
                <c:pt idx="8">
                  <c:v>7.8462373548561226E-2</c:v>
                </c:pt>
                <c:pt idx="9">
                  <c:v>9.9431431869589249E-2</c:v>
                </c:pt>
                <c:pt idx="10">
                  <c:v>8.6233207403333401E-2</c:v>
                </c:pt>
                <c:pt idx="11">
                  <c:v>1.2245813929498084E-2</c:v>
                </c:pt>
                <c:pt idx="12">
                  <c:v>0.11542426392360605</c:v>
                </c:pt>
                <c:pt idx="13">
                  <c:v>1.0123006823416381E-2</c:v>
                </c:pt>
                <c:pt idx="14">
                  <c:v>9.8326453105506584E-2</c:v>
                </c:pt>
                <c:pt idx="15">
                  <c:v>4.7129323821500257E-2</c:v>
                </c:pt>
                <c:pt idx="16">
                  <c:v>0.13513783379965738</c:v>
                </c:pt>
                <c:pt idx="17">
                  <c:v>0.13733314267090169</c:v>
                </c:pt>
                <c:pt idx="18">
                  <c:v>0.21047431146651907</c:v>
                </c:pt>
                <c:pt idx="19">
                  <c:v>6.5383827219155588E-2</c:v>
                </c:pt>
              </c:numCache>
            </c:numRef>
          </c:val>
          <c:smooth val="0"/>
          <c:extLst>
            <c:ext xmlns:c16="http://schemas.microsoft.com/office/drawing/2014/chart" uri="{C3380CC4-5D6E-409C-BE32-E72D297353CC}">
              <c16:uniqueId val="{00000000-23A0-4C30-BB46-0713C1423641}"/>
            </c:ext>
          </c:extLst>
        </c:ser>
        <c:dLbls>
          <c:showLegendKey val="0"/>
          <c:showVal val="0"/>
          <c:showCatName val="0"/>
          <c:showSerName val="0"/>
          <c:showPercent val="0"/>
          <c:showBubbleSize val="0"/>
        </c:dLbls>
        <c:marker val="1"/>
        <c:smooth val="0"/>
        <c:axId val="1061667200"/>
        <c:axId val="1061666368"/>
      </c:lineChart>
      <c:lineChart>
        <c:grouping val="standard"/>
        <c:varyColors val="0"/>
        <c:ser>
          <c:idx val="2"/>
          <c:order val="1"/>
          <c:tx>
            <c:strRef>
              <c:f>Charts!$L$23</c:f>
              <c:strCache>
                <c:ptCount val="1"/>
                <c:pt idx="0">
                  <c:v>Proportion of annuity payment affected (%)</c:v>
                </c:pt>
              </c:strCache>
            </c:strRef>
          </c:tx>
          <c:spPr>
            <a:ln w="28575" cap="rnd">
              <a:solidFill>
                <a:schemeClr val="accent3"/>
              </a:solidFill>
              <a:round/>
            </a:ln>
            <a:effectLst/>
          </c:spPr>
          <c:marker>
            <c:symbol val="none"/>
          </c:marker>
          <c:cat>
            <c:numRef>
              <c:f>Charts!$J$24:$J$43</c:f>
              <c:numCache>
                <c:formatCode>General</c:formatCode>
                <c:ptCount val="20"/>
                <c:pt idx="0">
                  <c:v>4</c:v>
                </c:pt>
                <c:pt idx="1">
                  <c:v>5</c:v>
                </c:pt>
                <c:pt idx="2">
                  <c:v>6</c:v>
                </c:pt>
                <c:pt idx="3">
                  <c:v>7</c:v>
                </c:pt>
                <c:pt idx="4">
                  <c:v>8</c:v>
                </c:pt>
                <c:pt idx="5">
                  <c:v>9</c:v>
                </c:pt>
                <c:pt idx="6">
                  <c:v>10</c:v>
                </c:pt>
                <c:pt idx="7">
                  <c:v>11</c:v>
                </c:pt>
                <c:pt idx="8">
                  <c:v>12</c:v>
                </c:pt>
                <c:pt idx="9">
                  <c:v>13</c:v>
                </c:pt>
                <c:pt idx="10">
                  <c:v>14</c:v>
                </c:pt>
                <c:pt idx="11">
                  <c:v>15</c:v>
                </c:pt>
                <c:pt idx="12">
                  <c:v>16</c:v>
                </c:pt>
                <c:pt idx="13">
                  <c:v>17</c:v>
                </c:pt>
                <c:pt idx="14">
                  <c:v>18</c:v>
                </c:pt>
                <c:pt idx="15">
                  <c:v>19</c:v>
                </c:pt>
                <c:pt idx="16">
                  <c:v>20</c:v>
                </c:pt>
                <c:pt idx="17">
                  <c:v>21</c:v>
                </c:pt>
                <c:pt idx="18">
                  <c:v>22</c:v>
                </c:pt>
                <c:pt idx="19">
                  <c:v>23</c:v>
                </c:pt>
              </c:numCache>
            </c:numRef>
          </c:cat>
          <c:val>
            <c:numRef>
              <c:f>Charts!$L$24:$L$43</c:f>
              <c:numCache>
                <c:formatCode>0%</c:formatCode>
                <c:ptCount val="20"/>
                <c:pt idx="0">
                  <c:v>0.46056208846854607</c:v>
                </c:pt>
                <c:pt idx="1">
                  <c:v>0.33731221763028546</c:v>
                </c:pt>
                <c:pt idx="2">
                  <c:v>0.25554438304013743</c:v>
                </c:pt>
                <c:pt idx="3">
                  <c:v>0.28860046702907066</c:v>
                </c:pt>
                <c:pt idx="4">
                  <c:v>0.31664005884525664</c:v>
                </c:pt>
                <c:pt idx="5">
                  <c:v>0.28272672743797905</c:v>
                </c:pt>
                <c:pt idx="6">
                  <c:v>0.47707528507826402</c:v>
                </c:pt>
                <c:pt idx="7">
                  <c:v>0.17582567435235166</c:v>
                </c:pt>
                <c:pt idx="8">
                  <c:v>0.31634157231061827</c:v>
                </c:pt>
                <c:pt idx="9">
                  <c:v>0.39523574229801917</c:v>
                </c:pt>
                <c:pt idx="10">
                  <c:v>0.33252775307066457</c:v>
                </c:pt>
                <c:pt idx="11">
                  <c:v>4.5095514393318555E-2</c:v>
                </c:pt>
                <c:pt idx="12">
                  <c:v>0.40656950152439297</c:v>
                </c:pt>
                <c:pt idx="13">
                  <c:v>3.4157456239474658E-2</c:v>
                </c:pt>
                <c:pt idx="14">
                  <c:v>0.31826104575126035</c:v>
                </c:pt>
                <c:pt idx="15">
                  <c:v>0.14652029449251441</c:v>
                </c:pt>
                <c:pt idx="16">
                  <c:v>0.40401286804360437</c:v>
                </c:pt>
                <c:pt idx="17">
                  <c:v>0.3952656914938395</c:v>
                </c:pt>
                <c:pt idx="18">
                  <c:v>0.57001860278417493</c:v>
                </c:pt>
                <c:pt idx="19">
                  <c:v>0.17494649791864725</c:v>
                </c:pt>
              </c:numCache>
            </c:numRef>
          </c:val>
          <c:smooth val="0"/>
          <c:extLst>
            <c:ext xmlns:c16="http://schemas.microsoft.com/office/drawing/2014/chart" uri="{C3380CC4-5D6E-409C-BE32-E72D297353CC}">
              <c16:uniqueId val="{00000001-23A0-4C30-BB46-0713C1423641}"/>
            </c:ext>
          </c:extLst>
        </c:ser>
        <c:dLbls>
          <c:showLegendKey val="0"/>
          <c:showVal val="0"/>
          <c:showCatName val="0"/>
          <c:showSerName val="0"/>
          <c:showPercent val="0"/>
          <c:showBubbleSize val="0"/>
        </c:dLbls>
        <c:marker val="1"/>
        <c:smooth val="0"/>
        <c:axId val="1426990688"/>
        <c:axId val="1426993184"/>
      </c:lineChart>
      <c:catAx>
        <c:axId val="10616672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Term</a:t>
                </a:r>
                <a:r>
                  <a:rPr lang="en-GB" baseline="0"/>
                  <a:t> of annuity remaining (years)</a:t>
                </a:r>
                <a:endParaRPr lang="en-GB"/>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666368"/>
        <c:crosses val="autoZero"/>
        <c:auto val="1"/>
        <c:lblAlgn val="ctr"/>
        <c:lblOffset val="100"/>
        <c:noMultiLvlLbl val="0"/>
      </c:catAx>
      <c:valAx>
        <c:axId val="10616663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Percentage increase in amount p.a. </a:t>
                </a:r>
              </a:p>
              <a:p>
                <a:pPr>
                  <a:defRPr/>
                </a:pPr>
                <a:r>
                  <a:rPr lang="en-GB"/>
                  <a:t>at end of term</a:t>
                </a:r>
              </a:p>
            </c:rich>
          </c:tx>
          <c:layout>
            <c:manualLayout>
              <c:xMode val="edge"/>
              <c:yMode val="edge"/>
              <c:x val="3.298552078488224E-2"/>
              <c:y val="0.14433906187628229"/>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667200"/>
        <c:crosses val="autoZero"/>
        <c:crossBetween val="between"/>
      </c:valAx>
      <c:valAx>
        <c:axId val="1426993184"/>
        <c:scaling>
          <c:orientation val="minMax"/>
        </c:scaling>
        <c:delete val="0"/>
        <c:axPos val="r"/>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Proportion of annuity payment affected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990688"/>
        <c:crosses val="max"/>
        <c:crossBetween val="between"/>
      </c:valAx>
      <c:catAx>
        <c:axId val="1426990688"/>
        <c:scaling>
          <c:orientation val="minMax"/>
        </c:scaling>
        <c:delete val="1"/>
        <c:axPos val="b"/>
        <c:numFmt formatCode="General" sourceLinked="1"/>
        <c:majorTickMark val="out"/>
        <c:minorTickMark val="none"/>
        <c:tickLblPos val="nextTo"/>
        <c:crossAx val="1426993184"/>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200"/>
              <a:t>Relationship between term of annuity remaining, proportion of annuity</a:t>
            </a:r>
            <a:r>
              <a:rPr lang="en-GB" sz="1200" baseline="0"/>
              <a:t> affected and percentage increase in amount p.a. at the end of term due to amendment</a:t>
            </a:r>
          </a:p>
          <a:p>
            <a:pPr>
              <a:defRPr/>
            </a:pPr>
            <a:r>
              <a:rPr lang="en-GB" sz="1200"/>
              <a:t>5% p.a. increase annuitants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1"/>
          <c:order val="0"/>
          <c:tx>
            <c:strRef>
              <c:f>Charts!$G$23</c:f>
              <c:strCache>
                <c:ptCount val="1"/>
                <c:pt idx="0">
                  <c:v>Percentage Increase in amount p.a. at end of term</c:v>
                </c:pt>
              </c:strCache>
            </c:strRef>
          </c:tx>
          <c:spPr>
            <a:ln w="28575" cap="rnd">
              <a:solidFill>
                <a:schemeClr val="accent2"/>
              </a:solidFill>
              <a:round/>
            </a:ln>
            <a:effectLst/>
          </c:spPr>
          <c:marker>
            <c:symbol val="none"/>
          </c:marker>
          <c:cat>
            <c:numRef>
              <c:f>Charts!$F$24:$F$43</c:f>
              <c:numCache>
                <c:formatCode>General</c:formatCode>
                <c:ptCount val="20"/>
                <c:pt idx="0">
                  <c:v>4</c:v>
                </c:pt>
                <c:pt idx="1">
                  <c:v>5</c:v>
                </c:pt>
                <c:pt idx="2">
                  <c:v>6</c:v>
                </c:pt>
                <c:pt idx="3">
                  <c:v>7</c:v>
                </c:pt>
                <c:pt idx="4">
                  <c:v>8</c:v>
                </c:pt>
                <c:pt idx="5">
                  <c:v>9</c:v>
                </c:pt>
                <c:pt idx="6">
                  <c:v>10</c:v>
                </c:pt>
                <c:pt idx="7">
                  <c:v>11</c:v>
                </c:pt>
                <c:pt idx="8">
                  <c:v>12</c:v>
                </c:pt>
                <c:pt idx="9">
                  <c:v>13</c:v>
                </c:pt>
                <c:pt idx="10">
                  <c:v>14</c:v>
                </c:pt>
                <c:pt idx="11">
                  <c:v>15</c:v>
                </c:pt>
                <c:pt idx="12">
                  <c:v>16</c:v>
                </c:pt>
                <c:pt idx="13">
                  <c:v>17</c:v>
                </c:pt>
                <c:pt idx="14">
                  <c:v>18</c:v>
                </c:pt>
                <c:pt idx="15">
                  <c:v>19</c:v>
                </c:pt>
                <c:pt idx="16">
                  <c:v>20</c:v>
                </c:pt>
                <c:pt idx="17">
                  <c:v>21</c:v>
                </c:pt>
                <c:pt idx="18">
                  <c:v>22</c:v>
                </c:pt>
                <c:pt idx="19">
                  <c:v>23</c:v>
                </c:pt>
              </c:numCache>
            </c:numRef>
          </c:cat>
          <c:val>
            <c:numRef>
              <c:f>Charts!$G$24:$G$43</c:f>
              <c:numCache>
                <c:formatCode>0.0%</c:formatCode>
                <c:ptCount val="20"/>
                <c:pt idx="0">
                  <c:v>1.3563849281513995E-2</c:v>
                </c:pt>
                <c:pt idx="1">
                  <c:v>1.1087848539922618E-2</c:v>
                </c:pt>
                <c:pt idx="2">
                  <c:v>9.6732110213824107E-3</c:v>
                </c:pt>
                <c:pt idx="3">
                  <c:v>9.2778639520756379E-3</c:v>
                </c:pt>
                <c:pt idx="4">
                  <c:v>5.3486867445580177E-3</c:v>
                </c:pt>
                <c:pt idx="5">
                  <c:v>2.0097596041230847E-3</c:v>
                </c:pt>
                <c:pt idx="6">
                  <c:v>-1.5464260632980231E-4</c:v>
                </c:pt>
                <c:pt idx="7">
                  <c:v>-2.9365734849395864E-3</c:v>
                </c:pt>
                <c:pt idx="8">
                  <c:v>-6.3762318052149602E-3</c:v>
                </c:pt>
                <c:pt idx="9">
                  <c:v>-9.306016253535665E-3</c:v>
                </c:pt>
                <c:pt idx="10">
                  <c:v>-2.0297562557469284E-2</c:v>
                </c:pt>
                <c:pt idx="11">
                  <c:v>-8.5168514844748966E-3</c:v>
                </c:pt>
                <c:pt idx="12">
                  <c:v>-1.1881269450465748E-2</c:v>
                </c:pt>
                <c:pt idx="13">
                  <c:v>-3.6803961814826147E-2</c:v>
                </c:pt>
                <c:pt idx="14">
                  <c:v>-6.519333030920893E-3</c:v>
                </c:pt>
                <c:pt idx="15">
                  <c:v>-3.7722249824629905E-2</c:v>
                </c:pt>
                <c:pt idx="16">
                  <c:v>-4.834138654056741E-2</c:v>
                </c:pt>
                <c:pt idx="17">
                  <c:v>0</c:v>
                </c:pt>
                <c:pt idx="18">
                  <c:v>0</c:v>
                </c:pt>
                <c:pt idx="19">
                  <c:v>0</c:v>
                </c:pt>
              </c:numCache>
            </c:numRef>
          </c:val>
          <c:smooth val="0"/>
          <c:extLst>
            <c:ext xmlns:c16="http://schemas.microsoft.com/office/drawing/2014/chart" uri="{C3380CC4-5D6E-409C-BE32-E72D297353CC}">
              <c16:uniqueId val="{00000000-126F-4677-9A47-D3FB5CBEADD6}"/>
            </c:ext>
          </c:extLst>
        </c:ser>
        <c:dLbls>
          <c:showLegendKey val="0"/>
          <c:showVal val="0"/>
          <c:showCatName val="0"/>
          <c:showSerName val="0"/>
          <c:showPercent val="0"/>
          <c:showBubbleSize val="0"/>
        </c:dLbls>
        <c:marker val="1"/>
        <c:smooth val="0"/>
        <c:axId val="1061667200"/>
        <c:axId val="1061666368"/>
      </c:lineChart>
      <c:lineChart>
        <c:grouping val="standard"/>
        <c:varyColors val="0"/>
        <c:ser>
          <c:idx val="2"/>
          <c:order val="1"/>
          <c:tx>
            <c:strRef>
              <c:f>Charts!$H$23</c:f>
              <c:strCache>
                <c:ptCount val="1"/>
                <c:pt idx="0">
                  <c:v>Proportion of annuity payment affected (%)</c:v>
                </c:pt>
              </c:strCache>
            </c:strRef>
          </c:tx>
          <c:spPr>
            <a:ln w="28575" cap="rnd">
              <a:solidFill>
                <a:schemeClr val="accent3"/>
              </a:solidFill>
              <a:round/>
            </a:ln>
            <a:effectLst/>
          </c:spPr>
          <c:marker>
            <c:symbol val="none"/>
          </c:marker>
          <c:cat>
            <c:numRef>
              <c:f>Charts!$F$24:$F$43</c:f>
              <c:numCache>
                <c:formatCode>General</c:formatCode>
                <c:ptCount val="20"/>
                <c:pt idx="0">
                  <c:v>4</c:v>
                </c:pt>
                <c:pt idx="1">
                  <c:v>5</c:v>
                </c:pt>
                <c:pt idx="2">
                  <c:v>6</c:v>
                </c:pt>
                <c:pt idx="3">
                  <c:v>7</c:v>
                </c:pt>
                <c:pt idx="4">
                  <c:v>8</c:v>
                </c:pt>
                <c:pt idx="5">
                  <c:v>9</c:v>
                </c:pt>
                <c:pt idx="6">
                  <c:v>10</c:v>
                </c:pt>
                <c:pt idx="7">
                  <c:v>11</c:v>
                </c:pt>
                <c:pt idx="8">
                  <c:v>12</c:v>
                </c:pt>
                <c:pt idx="9">
                  <c:v>13</c:v>
                </c:pt>
                <c:pt idx="10">
                  <c:v>14</c:v>
                </c:pt>
                <c:pt idx="11">
                  <c:v>15</c:v>
                </c:pt>
                <c:pt idx="12">
                  <c:v>16</c:v>
                </c:pt>
                <c:pt idx="13">
                  <c:v>17</c:v>
                </c:pt>
                <c:pt idx="14">
                  <c:v>18</c:v>
                </c:pt>
                <c:pt idx="15">
                  <c:v>19</c:v>
                </c:pt>
                <c:pt idx="16">
                  <c:v>20</c:v>
                </c:pt>
                <c:pt idx="17">
                  <c:v>21</c:v>
                </c:pt>
                <c:pt idx="18">
                  <c:v>22</c:v>
                </c:pt>
                <c:pt idx="19">
                  <c:v>23</c:v>
                </c:pt>
              </c:numCache>
            </c:numRef>
          </c:cat>
          <c:val>
            <c:numRef>
              <c:f>Charts!$H$24:$H$43</c:f>
              <c:numCache>
                <c:formatCode>0%</c:formatCode>
                <c:ptCount val="20"/>
                <c:pt idx="0">
                  <c:v>0.2390922811654374</c:v>
                </c:pt>
                <c:pt idx="1">
                  <c:v>0.25358512227007585</c:v>
                </c:pt>
                <c:pt idx="2">
                  <c:v>0.23784105147498816</c:v>
                </c:pt>
                <c:pt idx="3">
                  <c:v>0.3676928903939819</c:v>
                </c:pt>
                <c:pt idx="4">
                  <c:v>0.26418242251509366</c:v>
                </c:pt>
                <c:pt idx="5">
                  <c:v>0.23214820954193793</c:v>
                </c:pt>
                <c:pt idx="6">
                  <c:v>0.40244628681331168</c:v>
                </c:pt>
                <c:pt idx="7">
                  <c:v>0.30380982848266364</c:v>
                </c:pt>
                <c:pt idx="8">
                  <c:v>0.32072777112949663</c:v>
                </c:pt>
                <c:pt idx="9">
                  <c:v>0.32187615554566396</c:v>
                </c:pt>
                <c:pt idx="10">
                  <c:v>0.54169846140707056</c:v>
                </c:pt>
                <c:pt idx="11">
                  <c:v>0.23230608979626388</c:v>
                </c:pt>
                <c:pt idx="12">
                  <c:v>0.19523394696475299</c:v>
                </c:pt>
                <c:pt idx="13">
                  <c:v>0.56490064191104139</c:v>
                </c:pt>
                <c:pt idx="14">
                  <c:v>9.3978326229915005E-2</c:v>
                </c:pt>
                <c:pt idx="15">
                  <c:v>0.45518107611092445</c:v>
                </c:pt>
                <c:pt idx="16">
                  <c:v>0.52770058340399373</c:v>
                </c:pt>
                <c:pt idx="17">
                  <c:v>0.54089673597925181</c:v>
                </c:pt>
                <c:pt idx="18">
                  <c:v>8.4574246083225543E-2</c:v>
                </c:pt>
                <c:pt idx="19">
                  <c:v>0.44005595892231036</c:v>
                </c:pt>
              </c:numCache>
            </c:numRef>
          </c:val>
          <c:smooth val="0"/>
          <c:extLst>
            <c:ext xmlns:c16="http://schemas.microsoft.com/office/drawing/2014/chart" uri="{C3380CC4-5D6E-409C-BE32-E72D297353CC}">
              <c16:uniqueId val="{00000001-126F-4677-9A47-D3FB5CBEADD6}"/>
            </c:ext>
          </c:extLst>
        </c:ser>
        <c:dLbls>
          <c:showLegendKey val="0"/>
          <c:showVal val="0"/>
          <c:showCatName val="0"/>
          <c:showSerName val="0"/>
          <c:showPercent val="0"/>
          <c:showBubbleSize val="0"/>
        </c:dLbls>
        <c:marker val="1"/>
        <c:smooth val="0"/>
        <c:axId val="1426990688"/>
        <c:axId val="1426993184"/>
      </c:lineChart>
      <c:catAx>
        <c:axId val="10616672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Term of annuity remaining </a:t>
                </a:r>
                <a:r>
                  <a:rPr lang="en-GB" sz="1000" b="0" i="0" u="none" strike="noStrike" baseline="0">
                    <a:effectLst/>
                  </a:rPr>
                  <a:t>(years)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b"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666368"/>
        <c:crossesAt val="-6"/>
        <c:auto val="1"/>
        <c:lblAlgn val="ctr"/>
        <c:lblOffset val="100"/>
        <c:noMultiLvlLbl val="0"/>
      </c:catAx>
      <c:valAx>
        <c:axId val="10616663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baseline="0"/>
                  <a:t>Percentage increase in amount p.a.</a:t>
                </a:r>
              </a:p>
              <a:p>
                <a:pPr>
                  <a:defRPr/>
                </a:pPr>
                <a:r>
                  <a:rPr lang="en-GB" baseline="0"/>
                  <a:t>at end of term</a:t>
                </a:r>
                <a:endParaRPr lang="en-GB"/>
              </a:p>
            </c:rich>
          </c:tx>
          <c:layout>
            <c:manualLayout>
              <c:xMode val="edge"/>
              <c:yMode val="edge"/>
              <c:x val="2.792976039124536E-2"/>
              <c:y val="0.2728379442866349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667200"/>
        <c:crossesAt val="0"/>
        <c:crossBetween val="between"/>
      </c:valAx>
      <c:valAx>
        <c:axId val="1426993184"/>
        <c:scaling>
          <c:orientation val="minMax"/>
        </c:scaling>
        <c:delete val="0"/>
        <c:axPos val="r"/>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Proportion of annuity payment affected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990688"/>
        <c:crosses val="max"/>
        <c:crossBetween val="between"/>
      </c:valAx>
      <c:catAx>
        <c:axId val="1426990688"/>
        <c:scaling>
          <c:orientation val="minMax"/>
        </c:scaling>
        <c:delete val="1"/>
        <c:axPos val="b"/>
        <c:numFmt formatCode="General" sourceLinked="1"/>
        <c:majorTickMark val="out"/>
        <c:minorTickMark val="none"/>
        <c:tickLblPos val="nextTo"/>
        <c:crossAx val="1426993184"/>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200"/>
              <a:t>Relationship between term of annuity remaining, proportion of annuity</a:t>
            </a:r>
            <a:r>
              <a:rPr lang="en-GB" sz="1200" baseline="0"/>
              <a:t> affected and percentage increase in amount p.a. at the end of term due to amendment</a:t>
            </a:r>
          </a:p>
          <a:p>
            <a:pPr>
              <a:defRPr/>
            </a:pPr>
            <a:r>
              <a:rPr lang="en-GB" sz="1200"/>
              <a:t>All annuitants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1"/>
          <c:order val="0"/>
          <c:tx>
            <c:strRef>
              <c:f>Charts!$C$23</c:f>
              <c:strCache>
                <c:ptCount val="1"/>
                <c:pt idx="0">
                  <c:v>Percentage Increase in amount p.a. at end of term</c:v>
                </c:pt>
              </c:strCache>
            </c:strRef>
          </c:tx>
          <c:spPr>
            <a:ln w="28575" cap="rnd">
              <a:solidFill>
                <a:schemeClr val="accent2"/>
              </a:solidFill>
              <a:round/>
            </a:ln>
            <a:effectLst/>
          </c:spPr>
          <c:marker>
            <c:symbol val="none"/>
          </c:marker>
          <c:cat>
            <c:numRef>
              <c:f>Charts!$B$24:$B$43</c:f>
              <c:numCache>
                <c:formatCode>General</c:formatCode>
                <c:ptCount val="20"/>
                <c:pt idx="0">
                  <c:v>4</c:v>
                </c:pt>
                <c:pt idx="1">
                  <c:v>5</c:v>
                </c:pt>
                <c:pt idx="2">
                  <c:v>6</c:v>
                </c:pt>
                <c:pt idx="3">
                  <c:v>7</c:v>
                </c:pt>
                <c:pt idx="4">
                  <c:v>8</c:v>
                </c:pt>
                <c:pt idx="5">
                  <c:v>9</c:v>
                </c:pt>
                <c:pt idx="6">
                  <c:v>10</c:v>
                </c:pt>
                <c:pt idx="7">
                  <c:v>11</c:v>
                </c:pt>
                <c:pt idx="8">
                  <c:v>12</c:v>
                </c:pt>
                <c:pt idx="9">
                  <c:v>13</c:v>
                </c:pt>
                <c:pt idx="10">
                  <c:v>14</c:v>
                </c:pt>
                <c:pt idx="11">
                  <c:v>15</c:v>
                </c:pt>
                <c:pt idx="12">
                  <c:v>16</c:v>
                </c:pt>
                <c:pt idx="13">
                  <c:v>17</c:v>
                </c:pt>
                <c:pt idx="14">
                  <c:v>18</c:v>
                </c:pt>
                <c:pt idx="15">
                  <c:v>19</c:v>
                </c:pt>
                <c:pt idx="16">
                  <c:v>20</c:v>
                </c:pt>
                <c:pt idx="17">
                  <c:v>21</c:v>
                </c:pt>
                <c:pt idx="18">
                  <c:v>22</c:v>
                </c:pt>
                <c:pt idx="19">
                  <c:v>23</c:v>
                </c:pt>
              </c:numCache>
            </c:numRef>
          </c:cat>
          <c:val>
            <c:numRef>
              <c:f>Charts!$C$24:$C$43</c:f>
              <c:numCache>
                <c:formatCode>0.0%</c:formatCode>
                <c:ptCount val="20"/>
                <c:pt idx="0">
                  <c:v>2.7888384386458354E-2</c:v>
                </c:pt>
                <c:pt idx="1">
                  <c:v>1.8686586632486346E-2</c:v>
                </c:pt>
                <c:pt idx="2">
                  <c:v>2.8473568110177538E-2</c:v>
                </c:pt>
                <c:pt idx="3">
                  <c:v>3.0386856721824618E-2</c:v>
                </c:pt>
                <c:pt idx="4">
                  <c:v>3.0366776670741835E-2</c:v>
                </c:pt>
                <c:pt idx="5">
                  <c:v>3.1852329644505684E-2</c:v>
                </c:pt>
                <c:pt idx="6">
                  <c:v>7.8380317502372288E-2</c:v>
                </c:pt>
                <c:pt idx="7">
                  <c:v>2.6083273071594304E-2</c:v>
                </c:pt>
                <c:pt idx="8">
                  <c:v>1.4262700143762519E-2</c:v>
                </c:pt>
                <c:pt idx="9">
                  <c:v>3.3526201344414419E-2</c:v>
                </c:pt>
                <c:pt idx="10">
                  <c:v>9.1827965244848375E-3</c:v>
                </c:pt>
                <c:pt idx="11">
                  <c:v>-3.0918091948098914E-3</c:v>
                </c:pt>
                <c:pt idx="12">
                  <c:v>5.3118903108064774E-2</c:v>
                </c:pt>
                <c:pt idx="13">
                  <c:v>-8.4808411975618725E-3</c:v>
                </c:pt>
                <c:pt idx="14">
                  <c:v>1.4542631890562818E-2</c:v>
                </c:pt>
                <c:pt idx="15">
                  <c:v>2.0916522461078557E-4</c:v>
                </c:pt>
                <c:pt idx="16">
                  <c:v>8.0532505230788143E-3</c:v>
                </c:pt>
                <c:pt idx="17">
                  <c:v>3.9100900842103936E-2</c:v>
                </c:pt>
                <c:pt idx="18">
                  <c:v>0.1150882827234021</c:v>
                </c:pt>
                <c:pt idx="19">
                  <c:v>2.630363523950896E-2</c:v>
                </c:pt>
              </c:numCache>
            </c:numRef>
          </c:val>
          <c:smooth val="0"/>
          <c:extLst>
            <c:ext xmlns:c16="http://schemas.microsoft.com/office/drawing/2014/chart" uri="{C3380CC4-5D6E-409C-BE32-E72D297353CC}">
              <c16:uniqueId val="{00000000-2ED5-4618-A4B7-4355135357A0}"/>
            </c:ext>
          </c:extLst>
        </c:ser>
        <c:dLbls>
          <c:showLegendKey val="0"/>
          <c:showVal val="0"/>
          <c:showCatName val="0"/>
          <c:showSerName val="0"/>
          <c:showPercent val="0"/>
          <c:showBubbleSize val="0"/>
        </c:dLbls>
        <c:marker val="1"/>
        <c:smooth val="0"/>
        <c:axId val="1061667200"/>
        <c:axId val="1061666368"/>
      </c:lineChart>
      <c:lineChart>
        <c:grouping val="standard"/>
        <c:varyColors val="0"/>
        <c:ser>
          <c:idx val="2"/>
          <c:order val="1"/>
          <c:tx>
            <c:strRef>
              <c:f>Charts!$D$23</c:f>
              <c:strCache>
                <c:ptCount val="1"/>
                <c:pt idx="0">
                  <c:v>Proportion of annuity payment affected (%)</c:v>
                </c:pt>
              </c:strCache>
            </c:strRef>
          </c:tx>
          <c:spPr>
            <a:ln w="28575" cap="rnd">
              <a:solidFill>
                <a:schemeClr val="accent3"/>
              </a:solidFill>
              <a:round/>
            </a:ln>
            <a:effectLst/>
          </c:spPr>
          <c:marker>
            <c:symbol val="none"/>
          </c:marker>
          <c:cat>
            <c:numRef>
              <c:f>Charts!$B$24:$B$43</c:f>
              <c:numCache>
                <c:formatCode>General</c:formatCode>
                <c:ptCount val="20"/>
                <c:pt idx="0">
                  <c:v>4</c:v>
                </c:pt>
                <c:pt idx="1">
                  <c:v>5</c:v>
                </c:pt>
                <c:pt idx="2">
                  <c:v>6</c:v>
                </c:pt>
                <c:pt idx="3">
                  <c:v>7</c:v>
                </c:pt>
                <c:pt idx="4">
                  <c:v>8</c:v>
                </c:pt>
                <c:pt idx="5">
                  <c:v>9</c:v>
                </c:pt>
                <c:pt idx="6">
                  <c:v>10</c:v>
                </c:pt>
                <c:pt idx="7">
                  <c:v>11</c:v>
                </c:pt>
                <c:pt idx="8">
                  <c:v>12</c:v>
                </c:pt>
                <c:pt idx="9">
                  <c:v>13</c:v>
                </c:pt>
                <c:pt idx="10">
                  <c:v>14</c:v>
                </c:pt>
                <c:pt idx="11">
                  <c:v>15</c:v>
                </c:pt>
                <c:pt idx="12">
                  <c:v>16</c:v>
                </c:pt>
                <c:pt idx="13">
                  <c:v>17</c:v>
                </c:pt>
                <c:pt idx="14">
                  <c:v>18</c:v>
                </c:pt>
                <c:pt idx="15">
                  <c:v>19</c:v>
                </c:pt>
                <c:pt idx="16">
                  <c:v>20</c:v>
                </c:pt>
                <c:pt idx="17">
                  <c:v>21</c:v>
                </c:pt>
                <c:pt idx="18">
                  <c:v>22</c:v>
                </c:pt>
                <c:pt idx="19">
                  <c:v>23</c:v>
                </c:pt>
              </c:numCache>
            </c:numRef>
          </c:cat>
          <c:val>
            <c:numRef>
              <c:f>Charts!$D$24:$D$43</c:f>
              <c:numCache>
                <c:formatCode>0.0%</c:formatCode>
                <c:ptCount val="20"/>
                <c:pt idx="0">
                  <c:v>0.28338624262605916</c:v>
                </c:pt>
                <c:pt idx="1">
                  <c:v>0.27750714951584998</c:v>
                </c:pt>
                <c:pt idx="2">
                  <c:v>0.24669271725756281</c:v>
                </c:pt>
                <c:pt idx="3">
                  <c:v>0.32375265519125346</c:v>
                </c:pt>
                <c:pt idx="4">
                  <c:v>0.29041124068017515</c:v>
                </c:pt>
                <c:pt idx="5">
                  <c:v>0.25743746848995847</c:v>
                </c:pt>
                <c:pt idx="6">
                  <c:v>0.45841803551202587</c:v>
                </c:pt>
                <c:pt idx="7">
                  <c:v>0.21848705906245566</c:v>
                </c:pt>
                <c:pt idx="8">
                  <c:v>0.31941191148383313</c:v>
                </c:pt>
                <c:pt idx="9">
                  <c:v>0.35121999024660611</c:v>
                </c:pt>
                <c:pt idx="10">
                  <c:v>0.47197489196160197</c:v>
                </c:pt>
                <c:pt idx="11">
                  <c:v>0.18550344594552753</c:v>
                </c:pt>
                <c:pt idx="12">
                  <c:v>0.26567913181796632</c:v>
                </c:pt>
                <c:pt idx="13">
                  <c:v>0.29952904907525801</c:v>
                </c:pt>
                <c:pt idx="14">
                  <c:v>0.16873923273703015</c:v>
                </c:pt>
                <c:pt idx="15">
                  <c:v>0.30085068530171943</c:v>
                </c:pt>
                <c:pt idx="16">
                  <c:v>0.46585672572379905</c:v>
                </c:pt>
                <c:pt idx="17">
                  <c:v>0.46808121373654565</c:v>
                </c:pt>
                <c:pt idx="18">
                  <c:v>0.40820381721719179</c:v>
                </c:pt>
                <c:pt idx="19">
                  <c:v>0.30750122842047878</c:v>
                </c:pt>
              </c:numCache>
            </c:numRef>
          </c:val>
          <c:smooth val="0"/>
          <c:extLst>
            <c:ext xmlns:c16="http://schemas.microsoft.com/office/drawing/2014/chart" uri="{C3380CC4-5D6E-409C-BE32-E72D297353CC}">
              <c16:uniqueId val="{00000001-2ED5-4618-A4B7-4355135357A0}"/>
            </c:ext>
          </c:extLst>
        </c:ser>
        <c:dLbls>
          <c:showLegendKey val="0"/>
          <c:showVal val="0"/>
          <c:showCatName val="0"/>
          <c:showSerName val="0"/>
          <c:showPercent val="0"/>
          <c:showBubbleSize val="0"/>
        </c:dLbls>
        <c:marker val="1"/>
        <c:smooth val="0"/>
        <c:axId val="1426990688"/>
        <c:axId val="1426993184"/>
      </c:lineChart>
      <c:catAx>
        <c:axId val="10616672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Term of annuity remaining </a:t>
                </a:r>
                <a:r>
                  <a:rPr lang="en-GB" sz="1000" b="0" i="0" u="none" strike="noStrike" baseline="0">
                    <a:effectLst/>
                  </a:rPr>
                  <a:t>(years)</a:t>
                </a:r>
                <a:endParaRPr lang="en-US"/>
              </a:p>
            </c:rich>
          </c:tx>
          <c:layout>
            <c:manualLayout>
              <c:xMode val="edge"/>
              <c:yMode val="edge"/>
              <c:x val="0.34918612689473771"/>
              <c:y val="0.8166570389463647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b"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666368"/>
        <c:crossesAt val="-6"/>
        <c:auto val="1"/>
        <c:lblAlgn val="ctr"/>
        <c:lblOffset val="100"/>
        <c:noMultiLvlLbl val="0"/>
      </c:catAx>
      <c:valAx>
        <c:axId val="10616663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baseline="0"/>
                  <a:t>Percentage increase in amount p.a.</a:t>
                </a:r>
              </a:p>
              <a:p>
                <a:pPr>
                  <a:defRPr/>
                </a:pPr>
                <a:r>
                  <a:rPr lang="en-GB" baseline="0"/>
                  <a:t>at end of term</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667200"/>
        <c:crossesAt val="0"/>
        <c:crossBetween val="between"/>
      </c:valAx>
      <c:valAx>
        <c:axId val="1426993184"/>
        <c:scaling>
          <c:orientation val="minMax"/>
        </c:scaling>
        <c:delete val="0"/>
        <c:axPos val="r"/>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Proportion of annuity payment affected (%)</a:t>
                </a:r>
              </a:p>
            </c:rich>
          </c:tx>
          <c:layout>
            <c:manualLayout>
              <c:xMode val="edge"/>
              <c:yMode val="edge"/>
              <c:x val="0.9463727258932032"/>
              <c:y val="0.1599867236326400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990688"/>
        <c:crosses val="max"/>
        <c:crossBetween val="between"/>
      </c:valAx>
      <c:catAx>
        <c:axId val="1426990688"/>
        <c:scaling>
          <c:orientation val="minMax"/>
        </c:scaling>
        <c:delete val="1"/>
        <c:axPos val="b"/>
        <c:numFmt formatCode="General" sourceLinked="1"/>
        <c:majorTickMark val="out"/>
        <c:minorTickMark val="none"/>
        <c:tickLblPos val="nextTo"/>
        <c:crossAx val="1426993184"/>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2669</Words>
  <Characters>13615</Characters>
  <Application>Microsoft Office Word</Application>
  <DocSecurity>0</DocSecurity>
  <Lines>261</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hayley havers</dc:creator>
  <cp:lastModifiedBy>Vickersmith, AJ (Birmingham)</cp:lastModifiedBy>
  <cp:revision>5</cp:revision>
  <dcterms:created xsi:type="dcterms:W3CDTF">2021-12-01T22:36:00Z</dcterms:created>
  <dcterms:modified xsi:type="dcterms:W3CDTF">2022-09-22T19:21:00Z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347b247-e90e-43a3-9d7b-004f14ae6873_Enabled">
    <vt:lpwstr>true</vt:lpwstr>
  </property>
  <property fmtid="{D5CDD505-2E9C-101B-9397-08002B2CF9AE}" pid="3" name="MSIP_Label_d347b247-e90e-43a3-9d7b-004f14ae6873_SetDate">
    <vt:lpwstr>2021-12-04T08:30:22Z</vt:lpwstr>
  </property>
  <property fmtid="{D5CDD505-2E9C-101B-9397-08002B2CF9AE}" pid="4" name="MSIP_Label_d347b247-e90e-43a3-9d7b-004f14ae6873_Method">
    <vt:lpwstr>Standard</vt:lpwstr>
  </property>
  <property fmtid="{D5CDD505-2E9C-101B-9397-08002B2CF9AE}" pid="5" name="MSIP_Label_d347b247-e90e-43a3-9d7b-004f14ae6873_Name">
    <vt:lpwstr>d347b247-e90e-43a3-9d7b-004f14ae6873</vt:lpwstr>
  </property>
  <property fmtid="{D5CDD505-2E9C-101B-9397-08002B2CF9AE}" pid="6" name="MSIP_Label_d347b247-e90e-43a3-9d7b-004f14ae6873_SiteId">
    <vt:lpwstr>76e3921f-489b-4b7e-9547-9ea297add9b5</vt:lpwstr>
  </property>
  <property fmtid="{D5CDD505-2E9C-101B-9397-08002B2CF9AE}" pid="7" name="MSIP_Label_d347b247-e90e-43a3-9d7b-004f14ae6873_ActionId">
    <vt:lpwstr>7a95dff4-997f-4b6d-a256-9edfb0e0e9f5</vt:lpwstr>
  </property>
  <property fmtid="{D5CDD505-2E9C-101B-9397-08002B2CF9AE}" pid="8" name="MSIP_Label_d347b247-e90e-43a3-9d7b-004f14ae6873_ContentBits">
    <vt:lpwstr>0</vt:lpwstr>
  </property>
</Properties>
</file>