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5" w:rsidRPr="009C6C32" w:rsidRDefault="00D84325" w:rsidP="009C6C32">
      <w:pPr>
        <w:pStyle w:val="Heading2"/>
      </w:pPr>
    </w:p>
    <w:p w:rsidR="00E809E4" w:rsidRPr="004802E3" w:rsidRDefault="00E809E4"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1D1BD8" w:rsidRDefault="001D1BD8" w:rsidP="00B24A17">
      <w:pPr>
        <w:spacing w:after="0" w:line="250" w:lineRule="exact"/>
        <w:rPr>
          <w:rFonts w:cs="Arial"/>
          <w:color w:val="484E52" w:themeColor="text1" w:themeTint="F2"/>
          <w:szCs w:val="20"/>
        </w:rPr>
      </w:pPr>
    </w:p>
    <w:p w:rsidR="00F61B2A" w:rsidRDefault="00F61B2A" w:rsidP="00F61B2A">
      <w:pPr>
        <w:spacing w:after="0"/>
        <w:jc w:val="both"/>
        <w:rPr>
          <w:rFonts w:cs="Arial"/>
          <w:color w:val="484E52" w:themeColor="text1" w:themeTint="F2"/>
          <w:szCs w:val="20"/>
          <w:lang w:val="en-US"/>
        </w:rPr>
      </w:pPr>
      <w:r w:rsidRPr="00200A99">
        <w:rPr>
          <w:rFonts w:cs="Arial"/>
          <w:color w:val="484E52" w:themeColor="text1" w:themeTint="F2"/>
          <w:szCs w:val="20"/>
          <w:lang w:val="en-US"/>
        </w:rPr>
        <w:t xml:space="preserve">The </w:t>
      </w:r>
      <w:r>
        <w:rPr>
          <w:rFonts w:cs="Arial"/>
          <w:color w:val="484E52" w:themeColor="text1" w:themeTint="F2"/>
          <w:szCs w:val="20"/>
          <w:lang w:val="en-US"/>
        </w:rPr>
        <w:t>Institute and Faculty of Actuaries (</w:t>
      </w:r>
      <w:r w:rsidRPr="00200A99">
        <w:rPr>
          <w:rFonts w:cs="Arial"/>
          <w:color w:val="484E52" w:themeColor="text1" w:themeTint="F2"/>
          <w:szCs w:val="20"/>
          <w:lang w:val="en-US"/>
        </w:rPr>
        <w:t>IFoA</w:t>
      </w:r>
      <w:r>
        <w:rPr>
          <w:rFonts w:cs="Arial"/>
          <w:color w:val="484E52" w:themeColor="text1" w:themeTint="F2"/>
          <w:szCs w:val="20"/>
          <w:lang w:val="en-US"/>
        </w:rPr>
        <w:t>)</w:t>
      </w:r>
      <w:r w:rsidRPr="00200A99">
        <w:rPr>
          <w:rFonts w:cs="Arial"/>
          <w:color w:val="484E52" w:themeColor="text1" w:themeTint="F2"/>
          <w:szCs w:val="20"/>
          <w:lang w:val="en-US"/>
        </w:rPr>
        <w:t xml:space="preserve"> is pleased to submit feedback for </w:t>
      </w:r>
      <w:r>
        <w:rPr>
          <w:rFonts w:cs="Arial"/>
          <w:color w:val="484E52" w:themeColor="text1" w:themeTint="F2"/>
          <w:szCs w:val="20"/>
          <w:lang w:val="en-US"/>
        </w:rPr>
        <w:t>TPR’s consultation on Code of Practice 12.</w:t>
      </w:r>
      <w:r w:rsidRPr="00200A99">
        <w:rPr>
          <w:rFonts w:cs="Arial"/>
          <w:color w:val="484E52" w:themeColor="text1" w:themeTint="F2"/>
          <w:szCs w:val="20"/>
          <w:lang w:val="en-US"/>
        </w:rPr>
        <w:t xml:space="preserve"> Within the actuarial profession we have experts in the technical detail, we have executives in small and large financial institutions, and </w:t>
      </w:r>
      <w:bookmarkStart w:id="0" w:name="_GoBack"/>
      <w:bookmarkEnd w:id="0"/>
      <w:r w:rsidRPr="00200A99">
        <w:rPr>
          <w:rFonts w:cs="Arial"/>
          <w:color w:val="484E52" w:themeColor="text1" w:themeTint="F2"/>
          <w:szCs w:val="20"/>
          <w:lang w:val="en-US"/>
        </w:rPr>
        <w:t>we have experts working wit</w:t>
      </w:r>
      <w:r>
        <w:rPr>
          <w:rFonts w:cs="Arial"/>
          <w:color w:val="484E52" w:themeColor="text1" w:themeTint="F2"/>
          <w:szCs w:val="20"/>
          <w:lang w:val="en-US"/>
        </w:rPr>
        <w:t xml:space="preserve">h the financial system itself. </w:t>
      </w:r>
      <w:r w:rsidRPr="00200A99">
        <w:rPr>
          <w:rFonts w:cs="Arial"/>
          <w:color w:val="484E52" w:themeColor="text1" w:themeTint="F2"/>
          <w:szCs w:val="20"/>
          <w:lang w:val="en-US"/>
        </w:rPr>
        <w:t>Our outlook is rooted in our Royal Charter (dating back to 1884) and our long history of working with policymakers to effect change, and it is focused forwards on how actuaries will contribute to solving the problems of the 21</w:t>
      </w:r>
      <w:r w:rsidRPr="00200A99">
        <w:rPr>
          <w:rFonts w:cs="Arial"/>
          <w:color w:val="484E52" w:themeColor="text1" w:themeTint="F2"/>
          <w:szCs w:val="20"/>
          <w:vertAlign w:val="superscript"/>
          <w:lang w:val="en-US"/>
        </w:rPr>
        <w:t>st</w:t>
      </w:r>
      <w:r w:rsidRPr="00200A99">
        <w:rPr>
          <w:rFonts w:cs="Arial"/>
          <w:color w:val="484E52" w:themeColor="text1" w:themeTint="F2"/>
          <w:szCs w:val="20"/>
          <w:lang w:val="en-US"/>
        </w:rPr>
        <w:t xml:space="preserve"> century.</w:t>
      </w:r>
    </w:p>
    <w:p w:rsidR="00F61B2A" w:rsidRDefault="00F61B2A" w:rsidP="00F61B2A">
      <w:pPr>
        <w:spacing w:after="0"/>
        <w:jc w:val="both"/>
        <w:rPr>
          <w:rFonts w:cs="Arial"/>
          <w:color w:val="484E52" w:themeColor="text1" w:themeTint="F2"/>
          <w:szCs w:val="20"/>
          <w:lang w:val="en-US"/>
        </w:rPr>
      </w:pPr>
    </w:p>
    <w:p w:rsidR="00C96677" w:rsidRPr="00F61B2A" w:rsidRDefault="00F61B2A" w:rsidP="00F61B2A">
      <w:pPr>
        <w:spacing w:after="0" w:line="250" w:lineRule="exact"/>
        <w:rPr>
          <w:rFonts w:cs="Arial"/>
        </w:rPr>
      </w:pPr>
      <w:r>
        <w:rPr>
          <w:rFonts w:cs="Arial"/>
          <w:noProof/>
          <w:szCs w:val="20"/>
          <w:lang w:eastAsia="en-GB"/>
        </w:rPr>
        <mc:AlternateContent>
          <mc:Choice Requires="wps">
            <w:drawing>
              <wp:anchor distT="0" distB="0" distL="114300" distR="114300" simplePos="0" relativeHeight="251659264" behindDoc="0" locked="0" layoutInCell="1" allowOverlap="1" wp14:anchorId="0A877CCF" wp14:editId="0ACBBCE3">
                <wp:simplePos x="0" y="0"/>
                <wp:positionH relativeFrom="margin">
                  <wp:posOffset>-90170</wp:posOffset>
                </wp:positionH>
                <wp:positionV relativeFrom="paragraph">
                  <wp:posOffset>592455</wp:posOffset>
                </wp:positionV>
                <wp:extent cx="6191885" cy="3219450"/>
                <wp:effectExtent l="19050" t="19050" r="18415" b="19050"/>
                <wp:wrapSquare wrapText="bothSides"/>
                <wp:docPr id="9" name="Text Box 9"/>
                <wp:cNvGraphicFramePr/>
                <a:graphic xmlns:a="http://schemas.openxmlformats.org/drawingml/2006/main">
                  <a:graphicData uri="http://schemas.microsoft.com/office/word/2010/wordprocessingShape">
                    <wps:wsp>
                      <wps:cNvSpPr txBox="1"/>
                      <wps:spPr>
                        <a:xfrm>
                          <a:off x="0" y="0"/>
                          <a:ext cx="6191885" cy="3219450"/>
                        </a:xfrm>
                        <a:prstGeom prst="rect">
                          <a:avLst/>
                        </a:prstGeom>
                        <a:solidFill>
                          <a:schemeClr val="lt1"/>
                        </a:solidFill>
                        <a:ln w="28575">
                          <a:solidFill>
                            <a:srgbClr val="D9AB16"/>
                          </a:solidFill>
                        </a:ln>
                        <a:effectLst/>
                      </wps:spPr>
                      <wps:style>
                        <a:lnRef idx="0">
                          <a:schemeClr val="accent1"/>
                        </a:lnRef>
                        <a:fillRef idx="0">
                          <a:schemeClr val="accent1"/>
                        </a:fillRef>
                        <a:effectRef idx="0">
                          <a:schemeClr val="accent1"/>
                        </a:effectRef>
                        <a:fontRef idx="minor">
                          <a:schemeClr val="dk1"/>
                        </a:fontRef>
                      </wps:style>
                      <wps:txbx>
                        <w:txbxContent>
                          <w:p w:rsidR="00B24A17" w:rsidRPr="00B24A17" w:rsidRDefault="00F61B2A" w:rsidP="00B24A17">
                            <w:pPr>
                              <w:rPr>
                                <w:rFonts w:cs="Arial"/>
                                <w:b/>
                              </w:rPr>
                            </w:pPr>
                            <w:r>
                              <w:rPr>
                                <w:rFonts w:cs="Arial"/>
                                <w:b/>
                              </w:rPr>
                              <w:t>Our view</w:t>
                            </w:r>
                          </w:p>
                          <w:p w:rsidR="00190F29" w:rsidRDefault="009C61A0" w:rsidP="00190F29">
                            <w:pPr>
                              <w:numPr>
                                <w:ilvl w:val="0"/>
                                <w:numId w:val="2"/>
                              </w:numPr>
                              <w:rPr>
                                <w:rFonts w:cs="Arial"/>
                              </w:rPr>
                            </w:pPr>
                            <w:r>
                              <w:rPr>
                                <w:rFonts w:cs="Arial"/>
                              </w:rPr>
                              <w:t>The Code of Practice is intended to provide practical guidance to</w:t>
                            </w:r>
                            <w:r w:rsidR="00190F29" w:rsidRPr="00190F29">
                              <w:rPr>
                                <w:rFonts w:cs="Arial"/>
                              </w:rPr>
                              <w:t xml:space="preserve"> trustees, employers, advisers and other parties to </w:t>
                            </w:r>
                            <w:r>
                              <w:rPr>
                                <w:rFonts w:cs="Arial"/>
                              </w:rPr>
                              <w:t xml:space="preserve">enable them to understand how </w:t>
                            </w:r>
                            <w:r w:rsidR="00B0793C">
                              <w:rPr>
                                <w:rFonts w:cs="Arial"/>
                              </w:rPr>
                              <w:t xml:space="preserve">the Regulator will apply its judgement to the new contribution notice tests. This should enable </w:t>
                            </w:r>
                            <w:r>
                              <w:rPr>
                                <w:rFonts w:cs="Arial"/>
                              </w:rPr>
                              <w:t xml:space="preserve">all parties </w:t>
                            </w:r>
                            <w:r w:rsidR="00B0793C">
                              <w:rPr>
                                <w:rFonts w:cs="Arial"/>
                              </w:rPr>
                              <w:t>to</w:t>
                            </w:r>
                            <w:r>
                              <w:rPr>
                                <w:rFonts w:cs="Arial"/>
                              </w:rPr>
                              <w:t xml:space="preserve"> </w:t>
                            </w:r>
                            <w:r w:rsidR="00190F29" w:rsidRPr="00190F29">
                              <w:rPr>
                                <w:rFonts w:cs="Arial"/>
                              </w:rPr>
                              <w:t>continue with normal business activities</w:t>
                            </w:r>
                            <w:r>
                              <w:rPr>
                                <w:rFonts w:cs="Arial"/>
                              </w:rPr>
                              <w:t xml:space="preserve"> with a good understanding of </w:t>
                            </w:r>
                            <w:r w:rsidR="00190F29" w:rsidRPr="00190F29">
                              <w:rPr>
                                <w:rFonts w:cs="Arial"/>
                              </w:rPr>
                              <w:t>accepted standards of corporate behaviour and the proper running of pension schemes</w:t>
                            </w:r>
                            <w:r w:rsidR="00C96677">
                              <w:rPr>
                                <w:rFonts w:cs="Arial"/>
                              </w:rPr>
                              <w:t xml:space="preserve">. </w:t>
                            </w:r>
                            <w:r w:rsidR="00B0793C">
                              <w:rPr>
                                <w:rFonts w:cs="Arial"/>
                              </w:rPr>
                              <w:t>It</w:t>
                            </w:r>
                            <w:r w:rsidR="00190F29" w:rsidRPr="00190F29">
                              <w:rPr>
                                <w:rFonts w:cs="Arial"/>
                              </w:rPr>
                              <w:t xml:space="preserve"> would </w:t>
                            </w:r>
                            <w:r w:rsidR="00B0793C">
                              <w:rPr>
                                <w:rFonts w:cs="Arial"/>
                              </w:rPr>
                              <w:t xml:space="preserve">also </w:t>
                            </w:r>
                            <w:r w:rsidR="00190F29" w:rsidRPr="00190F29">
                              <w:rPr>
                                <w:rFonts w:cs="Arial"/>
                              </w:rPr>
                              <w:t>enable TPR to focus on preventing or punishing the activities of unscrupulous parties, in line with the policy intent.</w:t>
                            </w:r>
                          </w:p>
                          <w:p w:rsidR="00B0793C" w:rsidRPr="00190F29" w:rsidRDefault="00B0793C" w:rsidP="00190F29">
                            <w:pPr>
                              <w:numPr>
                                <w:ilvl w:val="0"/>
                                <w:numId w:val="2"/>
                              </w:numPr>
                              <w:rPr>
                                <w:rFonts w:cs="Arial"/>
                              </w:rPr>
                            </w:pPr>
                            <w:r>
                              <w:rPr>
                                <w:rFonts w:cs="Arial"/>
                              </w:rPr>
                              <w:t>In our view, the draft Code does not provide sufficient practical guidance to complement the legislation.</w:t>
                            </w:r>
                          </w:p>
                          <w:p w:rsidR="00190F29" w:rsidRPr="00B0793C" w:rsidRDefault="00B0793C" w:rsidP="00B0793C">
                            <w:pPr>
                              <w:numPr>
                                <w:ilvl w:val="0"/>
                                <w:numId w:val="2"/>
                              </w:numPr>
                              <w:rPr>
                                <w:rFonts w:cs="Arial"/>
                              </w:rPr>
                            </w:pPr>
                            <w:r>
                              <w:rPr>
                                <w:rFonts w:cs="Arial"/>
                              </w:rPr>
                              <w:t>We believe t</w:t>
                            </w:r>
                            <w:r w:rsidR="00190F29" w:rsidRPr="00190F29">
                              <w:rPr>
                                <w:rFonts w:cs="Arial"/>
                              </w:rPr>
                              <w:t xml:space="preserve">he examples in the </w:t>
                            </w:r>
                            <w:r>
                              <w:rPr>
                                <w:rFonts w:cs="Arial"/>
                              </w:rPr>
                              <w:t>Code</w:t>
                            </w:r>
                            <w:r w:rsidR="00190F29" w:rsidRPr="00190F29">
                              <w:rPr>
                                <w:rFonts w:cs="Arial"/>
                              </w:rPr>
                              <w:t xml:space="preserve"> </w:t>
                            </w:r>
                            <w:r>
                              <w:rPr>
                                <w:rFonts w:cs="Arial"/>
                              </w:rPr>
                              <w:t>need to</w:t>
                            </w:r>
                            <w:r w:rsidR="00190F29" w:rsidRPr="00190F29">
                              <w:rPr>
                                <w:rFonts w:cs="Arial"/>
                              </w:rPr>
                              <w:t xml:space="preserve"> be wider and should explore areas of uncertainty.</w:t>
                            </w:r>
                            <w:r>
                              <w:rPr>
                                <w:rFonts w:cs="Arial"/>
                              </w:rPr>
                              <w:t xml:space="preserve"> They are currently too obvious and give little additional</w:t>
                            </w:r>
                            <w:r w:rsidR="00F61B2A">
                              <w:rPr>
                                <w:rFonts w:cs="Arial"/>
                              </w:rPr>
                              <w:t xml:space="preserve"> pr</w:t>
                            </w:r>
                            <w:r w:rsidR="00036CC3">
                              <w:rPr>
                                <w:rFonts w:cs="Arial"/>
                              </w:rPr>
                              <w:t>ac</w:t>
                            </w:r>
                            <w:r w:rsidR="00F61B2A">
                              <w:rPr>
                                <w:rFonts w:cs="Arial"/>
                              </w:rPr>
                              <w:t>tical</w:t>
                            </w:r>
                            <w:r>
                              <w:rPr>
                                <w:rFonts w:cs="Arial"/>
                              </w:rPr>
                              <w:t xml:space="preserve"> guidance over and above the legislation itself</w:t>
                            </w:r>
                            <w:r w:rsidR="00190F29" w:rsidRPr="00190F29">
                              <w:rPr>
                                <w:rFonts w:cs="Arial"/>
                              </w:rPr>
                              <w:t>.</w:t>
                            </w:r>
                            <w:r>
                              <w:rPr>
                                <w:rFonts w:cs="Arial"/>
                              </w:rPr>
                              <w:t xml:space="preserve"> Given the tests are subject to multiple layers of the Regulator’s judgement and opinions, it seems to us that the Code needs to give examples that demonstrate how the Regulator might exercise its judgement</w:t>
                            </w:r>
                            <w:r w:rsidR="00F758FD">
                              <w:rPr>
                                <w:rFonts w:cs="Arial"/>
                              </w:rPr>
                              <w:t xml:space="preserve"> on each aspect where a judgement or opinion is required. W</w:t>
                            </w:r>
                            <w:r>
                              <w:rPr>
                                <w:rFonts w:cs="Arial"/>
                              </w:rPr>
                              <w:t>e understand the Regulator’s reluctance to fetter its powers</w:t>
                            </w:r>
                            <w:r w:rsidR="00F758FD">
                              <w:rPr>
                                <w:rFonts w:cs="Arial"/>
                              </w:rPr>
                              <w:t>, but w</w:t>
                            </w:r>
                            <w:r>
                              <w:rPr>
                                <w:rFonts w:cs="Arial"/>
                              </w:rPr>
                              <w:t xml:space="preserve">e do not believe some practical guidance and meaningful examples would do this. </w:t>
                            </w:r>
                          </w:p>
                          <w:p w:rsidR="00B24A17" w:rsidRPr="00C96677" w:rsidRDefault="00B24A17" w:rsidP="00B0793C">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877CCF" id="_x0000_t202" coordsize="21600,21600" o:spt="202" path="m,l,21600r21600,l21600,xe">
                <v:stroke joinstyle="miter"/>
                <v:path gradientshapeok="t" o:connecttype="rect"/>
              </v:shapetype>
              <v:shape id="Text Box 9" o:spid="_x0000_s1026" type="#_x0000_t202" style="position:absolute;margin-left:-7.1pt;margin-top:46.65pt;width:487.55pt;height:2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" fillcolor="white [3201]" strokecolor="#d9ab16" strokeweight="2.25pt">
                <v:textbox>
                  <w:txbxContent>
                    <w:p w:rsidR="00B24A17" w:rsidRPr="00B24A17" w:rsidRDefault="00F61B2A" w:rsidP="00B24A17">
                      <w:pPr>
                        <w:rPr>
                          <w:rFonts w:cs="Arial"/>
                          <w:b/>
                        </w:rPr>
                      </w:pPr>
                      <w:r>
                        <w:rPr>
                          <w:rFonts w:cs="Arial"/>
                          <w:b/>
                        </w:rPr>
                        <w:t>Our view</w:t>
                      </w:r>
                    </w:p>
                    <w:p w:rsidR="00190F29" w:rsidRDefault="009C61A0" w:rsidP="00190F29">
                      <w:pPr>
                        <w:numPr>
                          <w:ilvl w:val="0"/>
                          <w:numId w:val="2"/>
                        </w:numPr>
                        <w:rPr>
                          <w:rFonts w:cs="Arial"/>
                        </w:rPr>
                      </w:pPr>
                      <w:r>
                        <w:rPr>
                          <w:rFonts w:cs="Arial"/>
                        </w:rPr>
                        <w:t xml:space="preserve">The Code of Practice </w:t>
                      </w:r>
                      <w:proofErr w:type="gramStart"/>
                      <w:r>
                        <w:rPr>
                          <w:rFonts w:cs="Arial"/>
                        </w:rPr>
                        <w:t>is intended</w:t>
                      </w:r>
                      <w:proofErr w:type="gramEnd"/>
                      <w:r>
                        <w:rPr>
                          <w:rFonts w:cs="Arial"/>
                        </w:rPr>
                        <w:t xml:space="preserve"> to provide practical guidance to</w:t>
                      </w:r>
                      <w:r w:rsidR="00190F29" w:rsidRPr="00190F29">
                        <w:rPr>
                          <w:rFonts w:cs="Arial"/>
                        </w:rPr>
                        <w:t xml:space="preserve"> trustees, employers, advisers and other parties to </w:t>
                      </w:r>
                      <w:r>
                        <w:rPr>
                          <w:rFonts w:cs="Arial"/>
                        </w:rPr>
                        <w:t xml:space="preserve">enable them to understand how </w:t>
                      </w:r>
                      <w:r w:rsidR="00B0793C">
                        <w:rPr>
                          <w:rFonts w:cs="Arial"/>
                        </w:rPr>
                        <w:t xml:space="preserve">the Regulator will apply its judgement to the new contribution notice tests. This should enable </w:t>
                      </w:r>
                      <w:r>
                        <w:rPr>
                          <w:rFonts w:cs="Arial"/>
                        </w:rPr>
                        <w:t xml:space="preserve">all parties </w:t>
                      </w:r>
                      <w:r w:rsidR="00B0793C">
                        <w:rPr>
                          <w:rFonts w:cs="Arial"/>
                        </w:rPr>
                        <w:t>to</w:t>
                      </w:r>
                      <w:r>
                        <w:rPr>
                          <w:rFonts w:cs="Arial"/>
                        </w:rPr>
                        <w:t xml:space="preserve"> </w:t>
                      </w:r>
                      <w:r w:rsidR="00190F29" w:rsidRPr="00190F29">
                        <w:rPr>
                          <w:rFonts w:cs="Arial"/>
                        </w:rPr>
                        <w:t>continue with normal business activities</w:t>
                      </w:r>
                      <w:r>
                        <w:rPr>
                          <w:rFonts w:cs="Arial"/>
                        </w:rPr>
                        <w:t xml:space="preserve"> with a good understanding of </w:t>
                      </w:r>
                      <w:r w:rsidR="00190F29" w:rsidRPr="00190F29">
                        <w:rPr>
                          <w:rFonts w:cs="Arial"/>
                        </w:rPr>
                        <w:t>accepted standards of corporate behaviour and the proper running of pension schemes</w:t>
                      </w:r>
                      <w:r w:rsidR="00C96677">
                        <w:rPr>
                          <w:rFonts w:cs="Arial"/>
                        </w:rPr>
                        <w:t xml:space="preserve">. </w:t>
                      </w:r>
                      <w:r w:rsidR="00B0793C">
                        <w:rPr>
                          <w:rFonts w:cs="Arial"/>
                        </w:rPr>
                        <w:t>It</w:t>
                      </w:r>
                      <w:r w:rsidR="00190F29" w:rsidRPr="00190F29">
                        <w:rPr>
                          <w:rFonts w:cs="Arial"/>
                        </w:rPr>
                        <w:t xml:space="preserve"> would </w:t>
                      </w:r>
                      <w:r w:rsidR="00B0793C">
                        <w:rPr>
                          <w:rFonts w:cs="Arial"/>
                        </w:rPr>
                        <w:t xml:space="preserve">also </w:t>
                      </w:r>
                      <w:r w:rsidR="00190F29" w:rsidRPr="00190F29">
                        <w:rPr>
                          <w:rFonts w:cs="Arial"/>
                        </w:rPr>
                        <w:t>enable TPR to focus on preventing or punishing the activities of unscrupulous parties, in line with the policy intent.</w:t>
                      </w:r>
                    </w:p>
                    <w:p w:rsidR="00B0793C" w:rsidRPr="00190F29" w:rsidRDefault="00B0793C" w:rsidP="00190F29">
                      <w:pPr>
                        <w:numPr>
                          <w:ilvl w:val="0"/>
                          <w:numId w:val="2"/>
                        </w:numPr>
                        <w:rPr>
                          <w:rFonts w:cs="Arial"/>
                        </w:rPr>
                      </w:pPr>
                      <w:r>
                        <w:rPr>
                          <w:rFonts w:cs="Arial"/>
                        </w:rPr>
                        <w:t>In our view, the draft Code does not provide sufficient practical guidance to complement the legislation.</w:t>
                      </w:r>
                    </w:p>
                    <w:p w:rsidR="00190F29" w:rsidRPr="00B0793C" w:rsidRDefault="00B0793C" w:rsidP="00B0793C">
                      <w:pPr>
                        <w:numPr>
                          <w:ilvl w:val="0"/>
                          <w:numId w:val="2"/>
                        </w:numPr>
                        <w:rPr>
                          <w:rFonts w:cs="Arial"/>
                        </w:rPr>
                      </w:pPr>
                      <w:r>
                        <w:rPr>
                          <w:rFonts w:cs="Arial"/>
                        </w:rPr>
                        <w:t>We believe t</w:t>
                      </w:r>
                      <w:r w:rsidR="00190F29" w:rsidRPr="00190F29">
                        <w:rPr>
                          <w:rFonts w:cs="Arial"/>
                        </w:rPr>
                        <w:t xml:space="preserve">he examples in the </w:t>
                      </w:r>
                      <w:r>
                        <w:rPr>
                          <w:rFonts w:cs="Arial"/>
                        </w:rPr>
                        <w:t>Code</w:t>
                      </w:r>
                      <w:r w:rsidR="00190F29" w:rsidRPr="00190F29">
                        <w:rPr>
                          <w:rFonts w:cs="Arial"/>
                        </w:rPr>
                        <w:t xml:space="preserve"> </w:t>
                      </w:r>
                      <w:r>
                        <w:rPr>
                          <w:rFonts w:cs="Arial"/>
                        </w:rPr>
                        <w:t>need to</w:t>
                      </w:r>
                      <w:r w:rsidR="00190F29" w:rsidRPr="00190F29">
                        <w:rPr>
                          <w:rFonts w:cs="Arial"/>
                        </w:rPr>
                        <w:t xml:space="preserve"> be wider and should explore areas of uncertainty.</w:t>
                      </w:r>
                      <w:r>
                        <w:rPr>
                          <w:rFonts w:cs="Arial"/>
                        </w:rPr>
                        <w:t xml:space="preserve"> They are currently too obvious and give little additional</w:t>
                      </w:r>
                      <w:r w:rsidR="00F61B2A">
                        <w:rPr>
                          <w:rFonts w:cs="Arial"/>
                        </w:rPr>
                        <w:t xml:space="preserve"> pr</w:t>
                      </w:r>
                      <w:r w:rsidR="00036CC3">
                        <w:rPr>
                          <w:rFonts w:cs="Arial"/>
                        </w:rPr>
                        <w:t>ac</w:t>
                      </w:r>
                      <w:r w:rsidR="00F61B2A">
                        <w:rPr>
                          <w:rFonts w:cs="Arial"/>
                        </w:rPr>
                        <w:t>tical</w:t>
                      </w:r>
                      <w:r>
                        <w:rPr>
                          <w:rFonts w:cs="Arial"/>
                        </w:rPr>
                        <w:t xml:space="preserve"> guidance over and above the legislation itself</w:t>
                      </w:r>
                      <w:r w:rsidR="00190F29" w:rsidRPr="00190F29">
                        <w:rPr>
                          <w:rFonts w:cs="Arial"/>
                        </w:rPr>
                        <w:t>.</w:t>
                      </w:r>
                      <w:r>
                        <w:rPr>
                          <w:rFonts w:cs="Arial"/>
                        </w:rPr>
                        <w:t xml:space="preserve"> Given the tests are subject to multiple layers of the Regulator’s judgement and opinions, it seems to us that the Code needs to give examples that demonstrate how the Regulator might exercise its judgement</w:t>
                      </w:r>
                      <w:r w:rsidR="00F758FD">
                        <w:rPr>
                          <w:rFonts w:cs="Arial"/>
                        </w:rPr>
                        <w:t xml:space="preserve"> on each aspect where a judgement or opinion is required. W</w:t>
                      </w:r>
                      <w:r>
                        <w:rPr>
                          <w:rFonts w:cs="Arial"/>
                        </w:rPr>
                        <w:t>e unders</w:t>
                      </w:r>
                      <w:bookmarkStart w:id="1" w:name="_GoBack"/>
                      <w:bookmarkEnd w:id="1"/>
                      <w:r>
                        <w:rPr>
                          <w:rFonts w:cs="Arial"/>
                        </w:rPr>
                        <w:t>tand the Regulator’s reluctance to fetter its powers</w:t>
                      </w:r>
                      <w:r w:rsidR="00F758FD">
                        <w:rPr>
                          <w:rFonts w:cs="Arial"/>
                        </w:rPr>
                        <w:t>, but w</w:t>
                      </w:r>
                      <w:r>
                        <w:rPr>
                          <w:rFonts w:cs="Arial"/>
                        </w:rPr>
                        <w:t xml:space="preserve">e do not believe some practical guidance and meaningful examples would do this. </w:t>
                      </w:r>
                    </w:p>
                    <w:p w:rsidR="00B24A17" w:rsidRPr="00C96677" w:rsidRDefault="00B24A17" w:rsidP="00B0793C">
                      <w:pPr>
                        <w:rPr>
                          <w:rFonts w:cs="Arial"/>
                        </w:rPr>
                      </w:pPr>
                    </w:p>
                  </w:txbxContent>
                </v:textbox>
                <w10:wrap type="square" anchorx="margin"/>
              </v:shape>
            </w:pict>
          </mc:Fallback>
        </mc:AlternateContent>
      </w:r>
      <w:r w:rsidR="003F5BB9">
        <w:rPr>
          <w:rFonts w:cs="Arial"/>
        </w:rPr>
        <w:t>Below are the key points we wish to make.</w:t>
      </w:r>
      <w:r>
        <w:rPr>
          <w:rFonts w:cs="Arial"/>
        </w:rPr>
        <w:t xml:space="preserve"> </w:t>
      </w:r>
      <w:r w:rsidR="00B24A17" w:rsidRPr="004802E3">
        <w:t>Should you w</w:t>
      </w:r>
      <w:r w:rsidR="00B24A17">
        <w:t>ish</w:t>
      </w:r>
      <w:r w:rsidR="00B24A17" w:rsidRPr="004802E3">
        <w:t xml:space="preserve"> to discuss any of the points raised </w:t>
      </w:r>
      <w:r w:rsidR="00B24A17">
        <w:t xml:space="preserve">in this submission in more detail </w:t>
      </w:r>
      <w:r w:rsidR="00B24A17" w:rsidRPr="004802E3">
        <w:t xml:space="preserve">please contact </w:t>
      </w:r>
      <w:r w:rsidR="00B24A17">
        <w:t xml:space="preserve">Caolan Ward, Policy Manager, </w:t>
      </w:r>
      <w:r w:rsidR="00B24A17" w:rsidRPr="004802E3">
        <w:t>(</w:t>
      </w:r>
      <w:hyperlink r:id="rId11" w:history="1">
        <w:r w:rsidR="00B24A17" w:rsidRPr="00E56F77">
          <w:rPr>
            <w:rStyle w:val="Hyperlink"/>
          </w:rPr>
          <w:t>caolan.ward@actuaries.org.uk</w:t>
        </w:r>
      </w:hyperlink>
      <w:r w:rsidR="00B24A17">
        <w:t>) in the first</w:t>
      </w:r>
      <w:r w:rsidR="00B24A17" w:rsidRPr="004802E3">
        <w:t xml:space="preserve"> instance.</w:t>
      </w:r>
    </w:p>
    <w:p w:rsidR="00190F29" w:rsidRDefault="00190F29" w:rsidP="00190F29">
      <w:pPr>
        <w:spacing w:after="0"/>
        <w:rPr>
          <w:rFonts w:cs="Arial"/>
          <w:color w:val="484E52" w:themeColor="text1" w:themeTint="F2"/>
          <w:szCs w:val="20"/>
        </w:rPr>
      </w:pPr>
      <w:r>
        <w:rPr>
          <w:rFonts w:cs="Arial"/>
          <w:color w:val="484E52" w:themeColor="text1" w:themeTint="F2"/>
          <w:szCs w:val="20"/>
        </w:rPr>
        <w:t>The Pensions Regulator</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Napier House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Trafalgar Place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Brighton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BN1 4DW</w:t>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sidR="00B0793C">
        <w:rPr>
          <w:rFonts w:cs="Arial"/>
          <w:color w:val="484E52" w:themeColor="text1" w:themeTint="F2"/>
          <w:szCs w:val="20"/>
        </w:rPr>
        <w:t>7</w:t>
      </w:r>
      <w:r>
        <w:rPr>
          <w:rFonts w:cs="Arial"/>
          <w:color w:val="484E52" w:themeColor="text1" w:themeTint="F2"/>
          <w:szCs w:val="20"/>
        </w:rPr>
        <w:t xml:space="preserve"> </w:t>
      </w:r>
      <w:r w:rsidR="00B0793C">
        <w:rPr>
          <w:rFonts w:cs="Arial"/>
          <w:color w:val="484E52" w:themeColor="text1" w:themeTint="F2"/>
          <w:szCs w:val="20"/>
        </w:rPr>
        <w:t>July</w:t>
      </w:r>
      <w:r>
        <w:rPr>
          <w:rFonts w:cs="Arial"/>
          <w:color w:val="484E52" w:themeColor="text1" w:themeTint="F2"/>
          <w:szCs w:val="20"/>
        </w:rPr>
        <w:t xml:space="preserve"> 2021</w:t>
      </w:r>
    </w:p>
    <w:p w:rsidR="00190F29" w:rsidRDefault="00190F29" w:rsidP="00190F29">
      <w:pPr>
        <w:spacing w:after="0"/>
        <w:ind w:firstLine="720"/>
        <w:jc w:val="center"/>
        <w:rPr>
          <w:rFonts w:cs="Arial"/>
          <w:b/>
          <w:color w:val="484E52" w:themeColor="text1" w:themeTint="F2"/>
          <w:szCs w:val="20"/>
        </w:rPr>
      </w:pPr>
    </w:p>
    <w:p w:rsidR="00190F29" w:rsidRDefault="00190F29" w:rsidP="00190F29">
      <w:pPr>
        <w:spacing w:after="0"/>
        <w:rPr>
          <w:rFonts w:cs="Arial"/>
          <w:b/>
          <w:color w:val="484E52" w:themeColor="text1" w:themeTint="F2"/>
          <w:szCs w:val="20"/>
        </w:rPr>
      </w:pPr>
    </w:p>
    <w:p w:rsidR="00153B71" w:rsidRDefault="00153B71" w:rsidP="00190F29">
      <w:pPr>
        <w:spacing w:after="0"/>
        <w:rPr>
          <w:rFonts w:cs="Arial"/>
          <w:b/>
          <w:bCs/>
          <w:color w:val="484E52" w:themeColor="text1" w:themeTint="F2"/>
          <w:szCs w:val="20"/>
        </w:rPr>
      </w:pPr>
    </w:p>
    <w:p w:rsidR="00190F29" w:rsidRPr="000D513E" w:rsidRDefault="00190F29" w:rsidP="00190F29">
      <w:pPr>
        <w:spacing w:after="0"/>
        <w:rPr>
          <w:rFonts w:cs="Arial"/>
          <w:color w:val="484E52" w:themeColor="text1" w:themeTint="F2"/>
          <w:szCs w:val="20"/>
        </w:rPr>
      </w:pPr>
      <w:r w:rsidRPr="000D513E">
        <w:rPr>
          <w:rFonts w:cs="Arial"/>
          <w:color w:val="484E52" w:themeColor="text1" w:themeTint="F2"/>
          <w:szCs w:val="20"/>
        </w:rPr>
        <w:t xml:space="preserve">Yours Sincerely, </w:t>
      </w:r>
    </w:p>
    <w:p w:rsidR="00153B71" w:rsidRDefault="00153B71" w:rsidP="00190F29">
      <w:pPr>
        <w:spacing w:after="0"/>
        <w:rPr>
          <w:rFonts w:cs="Arial"/>
          <w:b/>
          <w:color w:val="484E52" w:themeColor="text1" w:themeTint="F2"/>
          <w:szCs w:val="20"/>
        </w:rPr>
      </w:pPr>
    </w:p>
    <w:p w:rsidR="00190F29" w:rsidRDefault="00F61B2A" w:rsidP="00190F29">
      <w:pPr>
        <w:spacing w:after="0"/>
        <w:rPr>
          <w:rFonts w:cs="Arial"/>
          <w:b/>
          <w:color w:val="484E52" w:themeColor="text1" w:themeTint="F2"/>
          <w:szCs w:val="20"/>
        </w:rPr>
      </w:pPr>
      <w:r>
        <w:rPr>
          <w:rFonts w:cs="Arial"/>
          <w:b/>
          <w:color w:val="484E52" w:themeColor="text1" w:themeTint="F2"/>
          <w:szCs w:val="20"/>
        </w:rPr>
        <w:t>Leah Evans</w:t>
      </w:r>
      <w:r w:rsidR="00190F29" w:rsidRPr="003A53DE">
        <w:rPr>
          <w:b/>
          <w:szCs w:val="20"/>
        </w:rPr>
        <w:t xml:space="preserve"> </w:t>
      </w:r>
    </w:p>
    <w:p w:rsidR="00190F29" w:rsidRDefault="00190F29" w:rsidP="00190F29">
      <w:pPr>
        <w:spacing w:after="0"/>
      </w:pPr>
      <w:r w:rsidRPr="00153B71">
        <w:t xml:space="preserve">Chair, IFoA Pensions Board </w:t>
      </w:r>
    </w:p>
    <w:p w:rsidR="00153B71" w:rsidRPr="00153B71" w:rsidRDefault="00153B71" w:rsidP="00190F29">
      <w:pPr>
        <w:spacing w:after="0"/>
        <w:rPr>
          <w:b/>
        </w:rPr>
      </w:pPr>
    </w:p>
    <w:p w:rsidR="00153B71" w:rsidRPr="00153B71" w:rsidRDefault="00153B71" w:rsidP="00190F29">
      <w:pPr>
        <w:spacing w:after="0"/>
      </w:pPr>
      <w:r w:rsidRPr="00153B71">
        <w:rPr>
          <w:b/>
        </w:rPr>
        <w:t>Jane Biggerstaff</w:t>
      </w:r>
    </w:p>
    <w:p w:rsidR="00190F29" w:rsidRPr="00F61B2A" w:rsidRDefault="00153B71" w:rsidP="00190F29">
      <w:pPr>
        <w:rPr>
          <w:rFonts w:cs="Arial"/>
          <w:bCs/>
          <w:color w:val="484E52" w:themeColor="text1" w:themeTint="F2"/>
          <w:szCs w:val="20"/>
        </w:rPr>
      </w:pPr>
      <w:r w:rsidRPr="00153B71">
        <w:rPr>
          <w:rFonts w:cs="Arial"/>
          <w:bCs/>
          <w:color w:val="484E52" w:themeColor="text1" w:themeTint="F2"/>
          <w:szCs w:val="20"/>
        </w:rPr>
        <w:t xml:space="preserve">Chair, IFoA </w:t>
      </w:r>
      <w:r w:rsidR="00F61B2A">
        <w:rPr>
          <w:rFonts w:cs="Arial"/>
          <w:bCs/>
          <w:color w:val="484E52" w:themeColor="text1" w:themeTint="F2"/>
          <w:szCs w:val="20"/>
        </w:rPr>
        <w:t>Pensions Consultation Committee</w:t>
      </w:r>
    </w:p>
    <w:sectPr w:rsidR="00190F29" w:rsidRPr="00F61B2A" w:rsidSect="00990DEA">
      <w:headerReference w:type="default" r:id="rId12"/>
      <w:footerReference w:type="default" r:id="rId13"/>
      <w:headerReference w:type="first" r:id="rId14"/>
      <w:footerReference w:type="first" r:id="rId15"/>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569" w:rsidRDefault="008C7569" w:rsidP="00B652E6">
      <w:pPr>
        <w:spacing w:after="0" w:line="240" w:lineRule="auto"/>
      </w:pPr>
      <w:r>
        <w:separator/>
      </w:r>
    </w:p>
  </w:endnote>
  <w:endnote w:type="continuationSeparator" w:id="0">
    <w:p w:rsidR="008C7569" w:rsidRDefault="008C7569"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6DBCFF15" wp14:editId="0692C64A">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8EEA580"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7"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C050EF">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31EF4D44" wp14:editId="4473EC9D">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CA9D58A"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004D579C" wp14:editId="3226AABA">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D3466D">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4D579C" id="_x0000_t202" coordsize="21600,21600" o:spt="202" path="m,l,21600r21600,l21600,xe">
              <v:stroke joinstyle="miter"/>
              <v:path gradientshapeok="t" o:connecttype="rect"/>
            </v:shapetype>
            <v:shape id="Text Box 1" o:spid="_x0000_s1031"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D3466D">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rsidR="00990DEA" w:rsidRDefault="00990DEA">
    <w:pPr>
      <w:pStyle w:val="Footer"/>
    </w:pPr>
  </w:p>
  <w:p w:rsidR="00990DEA" w:rsidRDefault="00990DEA">
    <w:pPr>
      <w:pStyle w:val="Footer"/>
    </w:pPr>
  </w:p>
  <w:p w:rsidR="00990DEA" w:rsidRDefault="00990DEA">
    <w:pPr>
      <w:pStyle w:val="Footer"/>
    </w:pPr>
  </w:p>
  <w:p w:rsidR="00990DEA" w:rsidRDefault="00990DEA">
    <w:pPr>
      <w:pStyle w:val="Footer"/>
    </w:pPr>
  </w:p>
  <w:p w:rsidR="009B6834" w:rsidRDefault="009B6834">
    <w:pPr>
      <w:pStyle w:val="Footer"/>
    </w:pPr>
  </w:p>
  <w:p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208CFB35" wp14:editId="5B8DE902">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7EBD26F"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569" w:rsidRDefault="008C7569" w:rsidP="00B652E6">
      <w:pPr>
        <w:spacing w:after="0" w:line="240" w:lineRule="auto"/>
      </w:pPr>
      <w:r>
        <w:separator/>
      </w:r>
    </w:p>
  </w:footnote>
  <w:footnote w:type="continuationSeparator" w:id="0">
    <w:p w:rsidR="008C7569" w:rsidRDefault="008C7569"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2D" w:rsidRPr="0052522D" w:rsidRDefault="0052522D"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6826AD22" wp14:editId="3D282969">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3B385B"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551B7AB9">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4644498C" wp14:editId="066F4F50">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78" w:rsidRDefault="00E6079A" w:rsidP="00425D75">
                          <w:pPr>
                            <w:jc w:val="right"/>
                            <w:rPr>
                              <w:rFonts w:cs="Arial"/>
                              <w:b/>
                              <w:color w:val="FFFFFF" w:themeColor="background2"/>
                            </w:rPr>
                          </w:pPr>
                          <w:r>
                            <w:rPr>
                              <w:rFonts w:cs="Arial"/>
                              <w:b/>
                              <w:color w:val="FFFFFF" w:themeColor="background2"/>
                            </w:rPr>
                            <w:t>7th</w:t>
                          </w:r>
                          <w:r w:rsidR="003A53DE">
                            <w:rPr>
                              <w:rFonts w:cs="Arial"/>
                              <w:b/>
                              <w:color w:val="FFFFFF" w:themeColor="background2"/>
                            </w:rPr>
                            <w:t xml:space="preserve"> </w:t>
                          </w:r>
                          <w:r>
                            <w:rPr>
                              <w:rFonts w:cs="Arial"/>
                              <w:b/>
                              <w:color w:val="FFFFFF" w:themeColor="background2"/>
                            </w:rPr>
                            <w:t>July</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44498C" id="_x0000_t202" coordsize="21600,21600" o:spt="202" path="m,l,21600r21600,l21600,xe">
              <v:stroke joinstyle="miter"/>
              <v:path gradientshapeok="t" o:connecttype="rect"/>
            </v:shapetype>
            <v:shape id="Text Box 7" o:spid="_x0000_s1028"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rsidR="00EE3178" w:rsidRDefault="00E6079A" w:rsidP="00425D75">
                    <w:pPr>
                      <w:jc w:val="right"/>
                      <w:rPr>
                        <w:rFonts w:cs="Arial"/>
                        <w:b/>
                        <w:color w:val="FFFFFF" w:themeColor="background2"/>
                      </w:rPr>
                    </w:pPr>
                    <w:r>
                      <w:rPr>
                        <w:rFonts w:cs="Arial"/>
                        <w:b/>
                        <w:color w:val="FFFFFF" w:themeColor="background2"/>
                      </w:rPr>
                      <w:t>7th</w:t>
                    </w:r>
                    <w:r w:rsidR="003A53DE">
                      <w:rPr>
                        <w:rFonts w:cs="Arial"/>
                        <w:b/>
                        <w:color w:val="FFFFFF" w:themeColor="background2"/>
                      </w:rPr>
                      <w:t xml:space="preserve"> </w:t>
                    </w:r>
                    <w:r>
                      <w:rPr>
                        <w:rFonts w:cs="Arial"/>
                        <w:b/>
                        <w:color w:val="FFFFFF" w:themeColor="background2"/>
                      </w:rPr>
                      <w:t>July</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8901CF">
    <w:pPr>
      <w:pStyle w:val="Header"/>
    </w:pPr>
    <w:r>
      <w:rPr>
        <w:noProof/>
        <w:lang w:eastAsia="en-GB"/>
      </w:rPr>
      <mc:AlternateContent>
        <mc:Choice Requires="wps">
          <w:drawing>
            <wp:anchor distT="0" distB="0" distL="114300" distR="114300" simplePos="0" relativeHeight="251676672" behindDoc="0" locked="0" layoutInCell="1" allowOverlap="1" wp14:anchorId="07E59F73" wp14:editId="3D01DB28">
              <wp:simplePos x="0" y="0"/>
              <wp:positionH relativeFrom="margin">
                <wp:posOffset>-15240</wp:posOffset>
              </wp:positionH>
              <wp:positionV relativeFrom="paragraph">
                <wp:posOffset>133350</wp:posOffset>
              </wp:positionV>
              <wp:extent cx="6017260" cy="11303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677" w:rsidRPr="00C96677" w:rsidRDefault="009C61A0" w:rsidP="00C96677">
                          <w:pPr>
                            <w:rPr>
                              <w:rFonts w:cs="Arial"/>
                              <w:b/>
                              <w:bCs/>
                              <w:color w:val="FFFFFF" w:themeColor="background2"/>
                              <w:sz w:val="32"/>
                              <w:szCs w:val="32"/>
                            </w:rPr>
                          </w:pPr>
                          <w:r>
                            <w:rPr>
                              <w:rFonts w:cs="Arial"/>
                              <w:b/>
                              <w:bCs/>
                              <w:color w:val="FFFFFF" w:themeColor="background2"/>
                              <w:sz w:val="32"/>
                              <w:szCs w:val="32"/>
                            </w:rPr>
                            <w:t>C</w:t>
                          </w:r>
                          <w:r w:rsidR="00C96677" w:rsidRPr="00C96677">
                            <w:rPr>
                              <w:rFonts w:cs="Arial"/>
                              <w:b/>
                              <w:bCs/>
                              <w:color w:val="FFFFFF" w:themeColor="background2"/>
                              <w:sz w:val="32"/>
                              <w:szCs w:val="32"/>
                            </w:rPr>
                            <w:t xml:space="preserve">onsultation on </w:t>
                          </w:r>
                          <w:r w:rsidR="008901CF">
                            <w:rPr>
                              <w:rFonts w:cs="Arial"/>
                              <w:b/>
                              <w:bCs/>
                              <w:color w:val="FFFFFF" w:themeColor="background2"/>
                              <w:sz w:val="32"/>
                              <w:szCs w:val="32"/>
                            </w:rPr>
                            <w:t>a revised Code of Practice 12: Co</w:t>
                          </w:r>
                          <w:r>
                            <w:rPr>
                              <w:rFonts w:cs="Arial"/>
                              <w:b/>
                              <w:bCs/>
                              <w:color w:val="FFFFFF" w:themeColor="background2"/>
                              <w:sz w:val="32"/>
                              <w:szCs w:val="32"/>
                            </w:rPr>
                            <w:t>n</w:t>
                          </w:r>
                          <w:r w:rsidR="008901CF">
                            <w:rPr>
                              <w:rFonts w:cs="Arial"/>
                              <w:b/>
                              <w:bCs/>
                              <w:color w:val="FFFFFF" w:themeColor="background2"/>
                              <w:sz w:val="32"/>
                              <w:szCs w:val="32"/>
                            </w:rPr>
                            <w:t>tribution Notices: Circumstances in relation to the material detriment test, the employer insolvency test and the employer resources test</w:t>
                          </w:r>
                          <w:r w:rsidR="008901CF" w:rsidRPr="00C96677">
                            <w:rPr>
                              <w:rFonts w:cs="Arial"/>
                              <w:b/>
                              <w:bCs/>
                              <w:color w:val="FFFFFF" w:themeColor="background2"/>
                              <w:sz w:val="32"/>
                              <w:szCs w:val="32"/>
                            </w:rPr>
                            <w:t xml:space="preserve"> </w:t>
                          </w: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E59F73" id="Text Box 6" o:spid="_x0000_s1029" type="#_x0000_t202" style="position:absolute;margin-left:-1.2pt;margin-top:10.5pt;width:473.8pt;height: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" filled="f" stroked="f" strokeweight=".5pt">
              <v:textbox inset="0,,0">
                <w:txbxContent>
                  <w:p w:rsidR="00C96677" w:rsidRPr="00C96677" w:rsidRDefault="009C61A0" w:rsidP="00C96677">
                    <w:pPr>
                      <w:rPr>
                        <w:rFonts w:cs="Arial"/>
                        <w:b/>
                        <w:bCs/>
                        <w:color w:val="FFFFFF" w:themeColor="background2"/>
                        <w:sz w:val="32"/>
                        <w:szCs w:val="32"/>
                      </w:rPr>
                    </w:pPr>
                    <w:r>
                      <w:rPr>
                        <w:rFonts w:cs="Arial"/>
                        <w:b/>
                        <w:bCs/>
                        <w:color w:val="FFFFFF" w:themeColor="background2"/>
                        <w:sz w:val="32"/>
                        <w:szCs w:val="32"/>
                      </w:rPr>
                      <w:t>C</w:t>
                    </w:r>
                    <w:r w:rsidR="00C96677" w:rsidRPr="00C96677">
                      <w:rPr>
                        <w:rFonts w:cs="Arial"/>
                        <w:b/>
                        <w:bCs/>
                        <w:color w:val="FFFFFF" w:themeColor="background2"/>
                        <w:sz w:val="32"/>
                        <w:szCs w:val="32"/>
                      </w:rPr>
                      <w:t xml:space="preserve">onsultation on </w:t>
                    </w:r>
                    <w:r w:rsidR="008901CF">
                      <w:rPr>
                        <w:rFonts w:cs="Arial"/>
                        <w:b/>
                        <w:bCs/>
                        <w:color w:val="FFFFFF" w:themeColor="background2"/>
                        <w:sz w:val="32"/>
                        <w:szCs w:val="32"/>
                      </w:rPr>
                      <w:t>a revised Code of Practice 12: Co</w:t>
                    </w:r>
                    <w:r>
                      <w:rPr>
                        <w:rFonts w:cs="Arial"/>
                        <w:b/>
                        <w:bCs/>
                        <w:color w:val="FFFFFF" w:themeColor="background2"/>
                        <w:sz w:val="32"/>
                        <w:szCs w:val="32"/>
                      </w:rPr>
                      <w:t>n</w:t>
                    </w:r>
                    <w:r w:rsidR="008901CF">
                      <w:rPr>
                        <w:rFonts w:cs="Arial"/>
                        <w:b/>
                        <w:bCs/>
                        <w:color w:val="FFFFFF" w:themeColor="background2"/>
                        <w:sz w:val="32"/>
                        <w:szCs w:val="32"/>
                      </w:rPr>
                      <w:t>tribution Notices: Circumstances in relation to the material detriment test, the employer insolvency test and the employer resources test</w:t>
                    </w:r>
                    <w:r w:rsidR="008901CF" w:rsidRPr="00C96677">
                      <w:rPr>
                        <w:rFonts w:cs="Arial"/>
                        <w:b/>
                        <w:bCs/>
                        <w:color w:val="FFFFFF" w:themeColor="background2"/>
                        <w:sz w:val="32"/>
                        <w:szCs w:val="32"/>
                      </w:rPr>
                      <w:t xml:space="preserve"> </w:t>
                    </w:r>
                  </w:p>
                  <w:p w:rsidR="00EE3178" w:rsidRPr="00686676" w:rsidRDefault="00EE3178">
                    <w:pPr>
                      <w:rPr>
                        <w:color w:val="FFFFFF" w:themeColor="background2"/>
                      </w:rPr>
                    </w:pPr>
                  </w:p>
                </w:txbxContent>
              </v:textbox>
              <w10:wrap anchorx="margin"/>
            </v:shape>
          </w:pict>
        </mc:Fallback>
      </mc:AlternateContent>
    </w:r>
  </w:p>
  <w:p w:rsidR="009B6834" w:rsidRDefault="009B6834">
    <w:pPr>
      <w:pStyle w:val="Header"/>
    </w:pPr>
  </w:p>
  <w:p w:rsidR="00D84325" w:rsidRDefault="00D84325">
    <w:pPr>
      <w:pStyle w:val="Header"/>
    </w:pPr>
  </w:p>
  <w:p w:rsidR="00D84325" w:rsidRDefault="00D84325">
    <w:pPr>
      <w:pStyle w:val="Header"/>
    </w:pPr>
  </w:p>
  <w:p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529F9772" wp14:editId="7611A27D">
              <wp:simplePos x="0" y="0"/>
              <wp:positionH relativeFrom="margin">
                <wp:align>left</wp:align>
              </wp:positionH>
              <wp:positionV relativeFrom="paragraph">
                <wp:posOffset>654050</wp:posOffset>
              </wp:positionV>
              <wp:extent cx="6257925" cy="577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9F9772" id="Text Box 3" o:spid="_x0000_s1030" type="#_x0000_t202" style="position:absolute;margin-left:0;margin-top:51.5pt;width:492.75pt;height:45.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" filled="f" stroked="f" strokeweight=".5pt">
              <v:textbox inset="0,,0">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2E4"/>
    <w:multiLevelType w:val="hybridMultilevel"/>
    <w:tmpl w:val="0ED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E"/>
    <w:rsid w:val="00036CC3"/>
    <w:rsid w:val="0006274D"/>
    <w:rsid w:val="000645F1"/>
    <w:rsid w:val="00083DBE"/>
    <w:rsid w:val="000C4679"/>
    <w:rsid w:val="000D41B2"/>
    <w:rsid w:val="000D513E"/>
    <w:rsid w:val="000E5412"/>
    <w:rsid w:val="00153B71"/>
    <w:rsid w:val="00190F29"/>
    <w:rsid w:val="001A4766"/>
    <w:rsid w:val="001A7B29"/>
    <w:rsid w:val="001D1BD8"/>
    <w:rsid w:val="002F15BC"/>
    <w:rsid w:val="00334CF1"/>
    <w:rsid w:val="00343242"/>
    <w:rsid w:val="00357CF6"/>
    <w:rsid w:val="003A4219"/>
    <w:rsid w:val="003A53DE"/>
    <w:rsid w:val="003F5BB9"/>
    <w:rsid w:val="0041487D"/>
    <w:rsid w:val="00425D75"/>
    <w:rsid w:val="004802E3"/>
    <w:rsid w:val="00487614"/>
    <w:rsid w:val="004F03AB"/>
    <w:rsid w:val="004F61CD"/>
    <w:rsid w:val="0051360A"/>
    <w:rsid w:val="005161BD"/>
    <w:rsid w:val="0052522D"/>
    <w:rsid w:val="00550C49"/>
    <w:rsid w:val="0056607A"/>
    <w:rsid w:val="00584097"/>
    <w:rsid w:val="005E1256"/>
    <w:rsid w:val="005F7F8F"/>
    <w:rsid w:val="00686676"/>
    <w:rsid w:val="006F43DF"/>
    <w:rsid w:val="00734464"/>
    <w:rsid w:val="007422A6"/>
    <w:rsid w:val="00751F11"/>
    <w:rsid w:val="00791DB6"/>
    <w:rsid w:val="007A73D0"/>
    <w:rsid w:val="007E5E97"/>
    <w:rsid w:val="007F66C8"/>
    <w:rsid w:val="008901CF"/>
    <w:rsid w:val="008C5C16"/>
    <w:rsid w:val="008C7569"/>
    <w:rsid w:val="008D1CAA"/>
    <w:rsid w:val="00957071"/>
    <w:rsid w:val="009756E6"/>
    <w:rsid w:val="00990DEA"/>
    <w:rsid w:val="009A4073"/>
    <w:rsid w:val="009B6834"/>
    <w:rsid w:val="009C18D3"/>
    <w:rsid w:val="009C61A0"/>
    <w:rsid w:val="009C6C32"/>
    <w:rsid w:val="009D752A"/>
    <w:rsid w:val="009E040D"/>
    <w:rsid w:val="00A07A37"/>
    <w:rsid w:val="00A07F65"/>
    <w:rsid w:val="00A24D33"/>
    <w:rsid w:val="00A31E1B"/>
    <w:rsid w:val="00B077AC"/>
    <w:rsid w:val="00B0793C"/>
    <w:rsid w:val="00B24A17"/>
    <w:rsid w:val="00B5381E"/>
    <w:rsid w:val="00B652E6"/>
    <w:rsid w:val="00B7544F"/>
    <w:rsid w:val="00B76CF7"/>
    <w:rsid w:val="00B82E07"/>
    <w:rsid w:val="00BC52F2"/>
    <w:rsid w:val="00BD4FE2"/>
    <w:rsid w:val="00C050EF"/>
    <w:rsid w:val="00C223D3"/>
    <w:rsid w:val="00C24441"/>
    <w:rsid w:val="00C62579"/>
    <w:rsid w:val="00C96677"/>
    <w:rsid w:val="00CA62E3"/>
    <w:rsid w:val="00CC3498"/>
    <w:rsid w:val="00CF69E6"/>
    <w:rsid w:val="00D051BE"/>
    <w:rsid w:val="00D15B52"/>
    <w:rsid w:val="00D3466D"/>
    <w:rsid w:val="00D80AFE"/>
    <w:rsid w:val="00D84325"/>
    <w:rsid w:val="00DD44E3"/>
    <w:rsid w:val="00E6079A"/>
    <w:rsid w:val="00E809E4"/>
    <w:rsid w:val="00EE3178"/>
    <w:rsid w:val="00F01DF4"/>
    <w:rsid w:val="00F3196D"/>
    <w:rsid w:val="00F414A4"/>
    <w:rsid w:val="00F61B2A"/>
    <w:rsid w:val="00F758FD"/>
    <w:rsid w:val="00F8277A"/>
    <w:rsid w:val="00F94936"/>
    <w:rsid w:val="00F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AEC64D-D0D7-48B2-AB7A-6723B8B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2.xml><?xml version="1.0" encoding="utf-8"?>
<ds:datastoreItem xmlns:ds="http://schemas.openxmlformats.org/officeDocument/2006/customXml" ds:itemID="{015B2E54-8E70-44E0-A767-B5879198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EC364B-592E-4B1A-87EE-58196E0B967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D742D6D-892B-41B0-BDB0-4C017A26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Caolan Ward</dc:creator>
  <cp:keywords/>
  <dc:description/>
  <cp:lastModifiedBy>Caolan Ward</cp:lastModifiedBy>
  <cp:revision>2</cp:revision>
  <cp:lastPrinted>2012-12-17T18:03:00Z</cp:lastPrinted>
  <dcterms:created xsi:type="dcterms:W3CDTF">2021-07-07T15:22:00Z</dcterms:created>
  <dcterms:modified xsi:type="dcterms:W3CDTF">2021-07-07T15:22:00Z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