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457B" w14:textId="005936EC" w:rsidR="00D84325" w:rsidRPr="009C6C32" w:rsidRDefault="00D84325" w:rsidP="000F3235">
      <w:pPr>
        <w:pStyle w:val="Heading2"/>
        <w:tabs>
          <w:tab w:val="left" w:pos="5550"/>
        </w:tabs>
      </w:pPr>
    </w:p>
    <w:p w14:paraId="750355D9" w14:textId="77777777" w:rsidR="00E809E4" w:rsidRPr="004802E3" w:rsidRDefault="00E809E4" w:rsidP="004802E3">
      <w:pPr>
        <w:spacing w:after="0" w:line="250" w:lineRule="exact"/>
        <w:rPr>
          <w:rFonts w:cs="Arial"/>
          <w:color w:val="484E52" w:themeColor="text1" w:themeTint="F2"/>
          <w:szCs w:val="20"/>
        </w:rPr>
      </w:pPr>
    </w:p>
    <w:p w14:paraId="1C0161B1" w14:textId="77777777" w:rsidR="009D752A" w:rsidRDefault="009D752A" w:rsidP="004802E3">
      <w:pPr>
        <w:spacing w:after="0" w:line="250" w:lineRule="exact"/>
        <w:rPr>
          <w:rFonts w:cs="Arial"/>
          <w:color w:val="484E52" w:themeColor="text1" w:themeTint="F2"/>
          <w:szCs w:val="20"/>
        </w:rPr>
      </w:pPr>
    </w:p>
    <w:p w14:paraId="7C0D8084" w14:textId="77777777" w:rsidR="009D752A" w:rsidRDefault="009D752A" w:rsidP="004802E3">
      <w:pPr>
        <w:spacing w:after="0" w:line="250" w:lineRule="exact"/>
        <w:rPr>
          <w:rFonts w:cs="Arial"/>
          <w:color w:val="484E52" w:themeColor="text1" w:themeTint="F2"/>
          <w:szCs w:val="20"/>
        </w:rPr>
      </w:pPr>
    </w:p>
    <w:p w14:paraId="2D083127" w14:textId="77777777" w:rsidR="009D752A" w:rsidRDefault="009D752A" w:rsidP="004802E3">
      <w:pPr>
        <w:spacing w:after="0" w:line="250" w:lineRule="exact"/>
        <w:rPr>
          <w:rFonts w:cs="Arial"/>
          <w:color w:val="484E52" w:themeColor="text1" w:themeTint="F2"/>
          <w:szCs w:val="20"/>
        </w:rPr>
      </w:pPr>
    </w:p>
    <w:p w14:paraId="2E527FE8" w14:textId="77777777" w:rsidR="009D752A" w:rsidRDefault="009D752A" w:rsidP="004802E3">
      <w:pPr>
        <w:spacing w:after="0" w:line="250" w:lineRule="exact"/>
        <w:rPr>
          <w:rFonts w:cs="Arial"/>
          <w:color w:val="484E52" w:themeColor="text1" w:themeTint="F2"/>
          <w:szCs w:val="20"/>
        </w:rPr>
      </w:pPr>
    </w:p>
    <w:p w14:paraId="2E01BFD9" w14:textId="77777777" w:rsidR="009D752A" w:rsidRDefault="009D752A" w:rsidP="004802E3">
      <w:pPr>
        <w:spacing w:after="0" w:line="250" w:lineRule="exact"/>
        <w:rPr>
          <w:rFonts w:cs="Arial"/>
          <w:color w:val="484E52" w:themeColor="text1" w:themeTint="F2"/>
          <w:szCs w:val="20"/>
        </w:rPr>
      </w:pPr>
    </w:p>
    <w:p w14:paraId="1429B623" w14:textId="77777777" w:rsidR="001D1BD8" w:rsidRDefault="001D1BD8" w:rsidP="00B24A17">
      <w:pPr>
        <w:spacing w:after="0" w:line="250" w:lineRule="exact"/>
        <w:rPr>
          <w:rFonts w:cs="Arial"/>
          <w:color w:val="484E52" w:themeColor="text1" w:themeTint="F2"/>
          <w:szCs w:val="20"/>
        </w:rPr>
      </w:pPr>
    </w:p>
    <w:p w14:paraId="1F3D0913" w14:textId="715BF020" w:rsidR="00BB7841" w:rsidRPr="001E3653" w:rsidRDefault="004802E3" w:rsidP="00B24A17">
      <w:pPr>
        <w:spacing w:after="0" w:line="250" w:lineRule="exact"/>
        <w:rPr>
          <w:rFonts w:cs="Arial"/>
          <w:color w:val="484E52" w:themeColor="text1" w:themeTint="F2"/>
          <w:szCs w:val="20"/>
        </w:rPr>
      </w:pPr>
      <w:r>
        <w:rPr>
          <w:rFonts w:cs="Arial"/>
          <w:color w:val="484E52" w:themeColor="text1" w:themeTint="F2"/>
          <w:szCs w:val="20"/>
        </w:rPr>
        <w:t>T</w:t>
      </w:r>
      <w:r w:rsidRPr="004802E3">
        <w:rPr>
          <w:rFonts w:cs="Arial"/>
          <w:color w:val="484E52" w:themeColor="text1" w:themeTint="F2"/>
          <w:szCs w:val="20"/>
        </w:rPr>
        <w:t>he Institute and Faculty of Actuaries (IFoA)</w:t>
      </w:r>
      <w:r w:rsidR="003A08EE">
        <w:rPr>
          <w:rFonts w:cs="Arial"/>
          <w:color w:val="484E52" w:themeColor="text1" w:themeTint="F2"/>
          <w:szCs w:val="20"/>
        </w:rPr>
        <w:t xml:space="preserve"> </w:t>
      </w:r>
      <w:r w:rsidRPr="004802E3">
        <w:rPr>
          <w:rFonts w:cs="Arial"/>
          <w:color w:val="484E52" w:themeColor="text1" w:themeTint="F2"/>
          <w:szCs w:val="20"/>
        </w:rPr>
        <w:t>welcomes the opportunity to respond to</w:t>
      </w:r>
      <w:r w:rsidR="003A08EE">
        <w:rPr>
          <w:rFonts w:cs="Arial"/>
          <w:color w:val="484E52" w:themeColor="text1" w:themeTint="F2"/>
          <w:szCs w:val="20"/>
        </w:rPr>
        <w:t xml:space="preserve"> </w:t>
      </w:r>
      <w:r w:rsidR="000F3235">
        <w:rPr>
          <w:rFonts w:cs="Arial"/>
          <w:color w:val="484E52" w:themeColor="text1" w:themeTint="F2"/>
          <w:szCs w:val="20"/>
        </w:rPr>
        <w:t>the Department for</w:t>
      </w:r>
      <w:r w:rsidR="00BF4E11">
        <w:rPr>
          <w:rFonts w:cs="Arial"/>
          <w:color w:val="484E52" w:themeColor="text1" w:themeTint="F2"/>
          <w:szCs w:val="20"/>
        </w:rPr>
        <w:t xml:space="preserve"> </w:t>
      </w:r>
      <w:r w:rsidR="003A08EE">
        <w:rPr>
          <w:rFonts w:cs="Arial"/>
          <w:color w:val="484E52" w:themeColor="text1" w:themeTint="F2"/>
          <w:szCs w:val="20"/>
        </w:rPr>
        <w:t>Work and Pension</w:t>
      </w:r>
      <w:r w:rsidR="000F3235">
        <w:rPr>
          <w:rFonts w:cs="Arial"/>
          <w:color w:val="484E52" w:themeColor="text1" w:themeTint="F2"/>
          <w:szCs w:val="20"/>
        </w:rPr>
        <w:t>s (DWP)</w:t>
      </w:r>
      <w:r w:rsidR="003A08EE">
        <w:rPr>
          <w:rFonts w:cs="Arial"/>
          <w:color w:val="484E52" w:themeColor="text1" w:themeTint="F2"/>
          <w:szCs w:val="20"/>
        </w:rPr>
        <w:t xml:space="preserve"> </w:t>
      </w:r>
      <w:r w:rsidR="000F3235">
        <w:rPr>
          <w:rFonts w:cs="Arial"/>
          <w:color w:val="484E52" w:themeColor="text1" w:themeTint="F2"/>
          <w:szCs w:val="20"/>
        </w:rPr>
        <w:t xml:space="preserve">led Call for Evidence on </w:t>
      </w:r>
      <w:r w:rsidR="003A08EE">
        <w:rPr>
          <w:rFonts w:cs="Arial"/>
          <w:color w:val="484E52" w:themeColor="text1" w:themeTint="F2"/>
          <w:szCs w:val="20"/>
        </w:rPr>
        <w:t>‘</w:t>
      </w:r>
      <w:r w:rsidR="000F3235">
        <w:rPr>
          <w:rFonts w:cs="Arial"/>
          <w:color w:val="484E52" w:themeColor="text1" w:themeTint="F2"/>
          <w:szCs w:val="20"/>
        </w:rPr>
        <w:t>Helping savers understand their pension choices</w:t>
      </w:r>
      <w:r w:rsidR="003A08EE">
        <w:rPr>
          <w:rFonts w:cs="Arial"/>
          <w:color w:val="484E52" w:themeColor="text1" w:themeTint="F2"/>
          <w:szCs w:val="20"/>
        </w:rPr>
        <w:t>’.</w:t>
      </w:r>
    </w:p>
    <w:p w14:paraId="0391E5C3" w14:textId="77777777" w:rsidR="00BB7841" w:rsidRDefault="00BB7841" w:rsidP="00B24A17">
      <w:pPr>
        <w:spacing w:after="0" w:line="250" w:lineRule="exact"/>
        <w:rPr>
          <w:rFonts w:cs="Arial"/>
        </w:rPr>
      </w:pPr>
    </w:p>
    <w:p w14:paraId="1216114C" w14:textId="4025289E" w:rsidR="00C422AB" w:rsidRDefault="00396145" w:rsidP="00983BC0">
      <w:pPr>
        <w:spacing w:after="0" w:line="250" w:lineRule="exact"/>
        <w:rPr>
          <w:rFonts w:cs="Arial"/>
          <w:b/>
        </w:rPr>
      </w:pPr>
      <w:r>
        <w:rPr>
          <w:rFonts w:cs="Arial"/>
          <w:b/>
        </w:rPr>
        <w:t xml:space="preserve">The IFoA and </w:t>
      </w:r>
      <w:r w:rsidR="000F3235">
        <w:rPr>
          <w:rFonts w:cs="Arial"/>
          <w:b/>
        </w:rPr>
        <w:t xml:space="preserve">DWP </w:t>
      </w:r>
      <w:r>
        <w:rPr>
          <w:rFonts w:cs="Arial"/>
          <w:b/>
        </w:rPr>
        <w:t xml:space="preserve">have a common interest in </w:t>
      </w:r>
      <w:r w:rsidR="000F3235">
        <w:rPr>
          <w:rFonts w:cs="Arial"/>
          <w:b/>
        </w:rPr>
        <w:t>helping savers to understand their pension choices</w:t>
      </w:r>
      <w:r>
        <w:rPr>
          <w:rFonts w:cs="Arial"/>
          <w:b/>
        </w:rPr>
        <w:t xml:space="preserve"> and </w:t>
      </w:r>
      <w:r w:rsidR="00EA5F71">
        <w:rPr>
          <w:rFonts w:cs="Arial"/>
          <w:b/>
        </w:rPr>
        <w:t xml:space="preserve">the IFoA’s </w:t>
      </w:r>
      <w:r w:rsidR="00956DFA">
        <w:rPr>
          <w:rFonts w:cs="Arial"/>
          <w:b/>
        </w:rPr>
        <w:t>work,</w:t>
      </w:r>
      <w:r>
        <w:rPr>
          <w:rFonts w:cs="Arial"/>
          <w:b/>
        </w:rPr>
        <w:t xml:space="preserve"> research, and our members’ skills and knowledge, are particularly relevant to this Call for Evidence.</w:t>
      </w:r>
      <w:r w:rsidRPr="00BB7841" w:rsidDel="00396145">
        <w:rPr>
          <w:rFonts w:cs="Arial"/>
          <w:b/>
        </w:rPr>
        <w:t xml:space="preserve"> </w:t>
      </w:r>
      <w:r>
        <w:rPr>
          <w:rFonts w:cs="Arial"/>
          <w:b/>
        </w:rPr>
        <w:t xml:space="preserve">This </w:t>
      </w:r>
      <w:r w:rsidR="00416D77">
        <w:rPr>
          <w:rFonts w:cs="Arial"/>
          <w:b/>
        </w:rPr>
        <w:t xml:space="preserve">is clearly </w:t>
      </w:r>
      <w:r w:rsidR="007A7A89">
        <w:rPr>
          <w:rFonts w:cs="Arial"/>
          <w:b/>
        </w:rPr>
        <w:t>eviden</w:t>
      </w:r>
      <w:r w:rsidR="00416D77">
        <w:rPr>
          <w:rFonts w:cs="Arial"/>
          <w:b/>
        </w:rPr>
        <w:t>t from</w:t>
      </w:r>
      <w:r w:rsidR="007A7A89">
        <w:rPr>
          <w:rFonts w:cs="Arial"/>
          <w:b/>
        </w:rPr>
        <w:t xml:space="preserve"> the </w:t>
      </w:r>
      <w:r w:rsidR="00416D77">
        <w:rPr>
          <w:rFonts w:cs="Arial"/>
          <w:b/>
        </w:rPr>
        <w:t>existing work and campaigns the IFoA has undertaken and which we have referenced in compiling this response</w:t>
      </w:r>
      <w:r>
        <w:rPr>
          <w:rFonts w:cs="Arial"/>
          <w:b/>
        </w:rPr>
        <w:t>, including</w:t>
      </w:r>
      <w:r w:rsidR="007C26E9">
        <w:rPr>
          <w:rFonts w:cs="Arial"/>
          <w:b/>
        </w:rPr>
        <w:t xml:space="preserve"> our recent </w:t>
      </w:r>
      <w:hyperlink r:id="rId11" w:history="1">
        <w:r w:rsidR="007C26E9">
          <w:rPr>
            <w:rStyle w:val="Hyperlink"/>
            <w:rFonts w:cs="Arial"/>
            <w:b/>
          </w:rPr>
          <w:t>research on pensions freedoms and public attitudes</w:t>
        </w:r>
      </w:hyperlink>
      <w:r w:rsidR="00633EF9">
        <w:rPr>
          <w:rFonts w:cs="Arial"/>
          <w:b/>
        </w:rPr>
        <w:t xml:space="preserve"> and</w:t>
      </w:r>
      <w:r w:rsidR="007C26E9">
        <w:rPr>
          <w:rFonts w:cs="Arial"/>
          <w:b/>
        </w:rPr>
        <w:t xml:space="preserve"> </w:t>
      </w:r>
      <w:r w:rsidR="008634D2">
        <w:rPr>
          <w:rFonts w:cs="Arial"/>
          <w:b/>
        </w:rPr>
        <w:t>the</w:t>
      </w:r>
      <w:r w:rsidR="00255582" w:rsidRPr="00BB7841">
        <w:rPr>
          <w:rFonts w:cs="Arial"/>
          <w:b/>
        </w:rPr>
        <w:t xml:space="preserve"> </w:t>
      </w:r>
      <w:hyperlink r:id="rId12" w:tooltip="Read the final 'Great Risk Transfer' report " w:history="1">
        <w:r w:rsidR="000A19D9" w:rsidRPr="000A19D9">
          <w:rPr>
            <w:rStyle w:val="Hyperlink"/>
            <w:rFonts w:cs="Arial"/>
            <w:b/>
          </w:rPr>
          <w:t>'Great Risk Transfer'</w:t>
        </w:r>
      </w:hyperlink>
      <w:r w:rsidR="000A19D9">
        <w:rPr>
          <w:rFonts w:cs="Arial"/>
          <w:b/>
        </w:rPr>
        <w:t xml:space="preserve"> (GRT)</w:t>
      </w:r>
      <w:r w:rsidR="00633EF9">
        <w:rPr>
          <w:rFonts w:cs="Arial"/>
          <w:b/>
        </w:rPr>
        <w:t xml:space="preserve"> report</w:t>
      </w:r>
      <w:r w:rsidR="008634D2">
        <w:rPr>
          <w:rFonts w:cs="Arial"/>
          <w:b/>
        </w:rPr>
        <w:t>.</w:t>
      </w:r>
      <w:r w:rsidR="00BB7841" w:rsidRPr="00BB7841">
        <w:rPr>
          <w:rFonts w:cs="Arial"/>
          <w:b/>
        </w:rPr>
        <w:t xml:space="preserve"> </w:t>
      </w:r>
    </w:p>
    <w:p w14:paraId="60AB4730" w14:textId="77777777" w:rsidR="001E3653" w:rsidRDefault="001E3653" w:rsidP="00983BC0">
      <w:pPr>
        <w:spacing w:after="0" w:line="250" w:lineRule="exact"/>
        <w:rPr>
          <w:rFonts w:cs="Arial"/>
          <w:b/>
        </w:rPr>
      </w:pPr>
    </w:p>
    <w:p w14:paraId="4D278865" w14:textId="091F8942" w:rsidR="006E343C" w:rsidRDefault="00BD44CC" w:rsidP="00956DFA">
      <w:pPr>
        <w:rPr>
          <w:rStyle w:val="Hyperlink"/>
          <w:rFonts w:cs="Arial"/>
        </w:rPr>
      </w:pPr>
      <w:r>
        <w:rPr>
          <w:rFonts w:cs="Arial"/>
        </w:rPr>
        <w:t>For further discussion on any</w:t>
      </w:r>
      <w:r w:rsidR="00416D77">
        <w:rPr>
          <w:rFonts w:cs="Arial"/>
        </w:rPr>
        <w:t xml:space="preserve"> of our reports or</w:t>
      </w:r>
      <w:r>
        <w:rPr>
          <w:rFonts w:cs="Arial"/>
        </w:rPr>
        <w:t xml:space="preserve"> the points made below, please contact Caolan Ward in the first instance on </w:t>
      </w:r>
      <w:hyperlink r:id="rId13" w:history="1">
        <w:r w:rsidR="00B94369" w:rsidRPr="00086B3B">
          <w:rPr>
            <w:rStyle w:val="Hyperlink"/>
            <w:rFonts w:cs="Arial"/>
          </w:rPr>
          <w:t>Caolan.ward@actuaries.org.uk</w:t>
        </w:r>
      </w:hyperlink>
    </w:p>
    <w:p w14:paraId="2DC8DD78" w14:textId="6D739751" w:rsidR="00CF015D" w:rsidRPr="00CF015D" w:rsidRDefault="00CF015D" w:rsidP="00CF015D">
      <w:pPr>
        <w:rPr>
          <w:rFonts w:cs="Arial"/>
          <w:b/>
        </w:rPr>
      </w:pPr>
      <w:r w:rsidRPr="00CF015D">
        <w:rPr>
          <w:rFonts w:cs="Arial"/>
          <w:b/>
        </w:rPr>
        <w:t>Some of the key points we have highlighted in this response are:</w:t>
      </w:r>
    </w:p>
    <w:p w14:paraId="26F61AB8" w14:textId="26F8EE07" w:rsidR="00CF015D" w:rsidRPr="00915044" w:rsidRDefault="00915044" w:rsidP="00915044">
      <w:pPr>
        <w:pStyle w:val="ListParagraph"/>
        <w:numPr>
          <w:ilvl w:val="0"/>
          <w:numId w:val="36"/>
        </w:numPr>
        <w:rPr>
          <w:rFonts w:cs="Arial"/>
          <w:b/>
        </w:rPr>
      </w:pPr>
      <w:r w:rsidRPr="00915044">
        <w:rPr>
          <w:rFonts w:cs="Arial"/>
          <w:b/>
        </w:rPr>
        <w:t>The IFoA is concerned that many UK households are not saving enough for later life, and that many are ill-equipped to deal with the risk of running out of money in retirement</w:t>
      </w:r>
    </w:p>
    <w:p w14:paraId="36D04CDF" w14:textId="7021E80B" w:rsidR="00915044" w:rsidRPr="00915044" w:rsidRDefault="00915044" w:rsidP="00915044">
      <w:pPr>
        <w:pStyle w:val="ListParagraph"/>
        <w:rPr>
          <w:rFonts w:cs="Arial"/>
          <w:bCs/>
        </w:rPr>
      </w:pPr>
    </w:p>
    <w:p w14:paraId="5FCFD073" w14:textId="11D9F866" w:rsidR="00915044" w:rsidRDefault="00915044" w:rsidP="00915044">
      <w:pPr>
        <w:pStyle w:val="ListParagraph"/>
        <w:numPr>
          <w:ilvl w:val="0"/>
          <w:numId w:val="36"/>
        </w:numPr>
        <w:rPr>
          <w:rFonts w:cs="Arial"/>
          <w:bCs/>
        </w:rPr>
      </w:pPr>
      <w:r w:rsidRPr="00915044">
        <w:rPr>
          <w:rFonts w:cs="Arial"/>
          <w:b/>
        </w:rPr>
        <w:t>The IFoA conducted some consumer research in January 2022 on pensions freedoms, information, guidance, and decision making.</w:t>
      </w:r>
      <w:r w:rsidRPr="00915044">
        <w:rPr>
          <w:rFonts w:cs="Arial"/>
          <w:bCs/>
        </w:rPr>
        <w:t xml:space="preserve"> We believe that the findings are useful in the context of this call for evidence (key findings below)</w:t>
      </w:r>
    </w:p>
    <w:p w14:paraId="14F50B50" w14:textId="77777777" w:rsidR="00915044" w:rsidRPr="00915044" w:rsidRDefault="00915044" w:rsidP="00915044">
      <w:pPr>
        <w:pStyle w:val="ListParagraph"/>
        <w:rPr>
          <w:rFonts w:cs="Arial"/>
          <w:bCs/>
        </w:rPr>
      </w:pPr>
    </w:p>
    <w:p w14:paraId="721B1B59" w14:textId="70234B37" w:rsidR="00915044" w:rsidRPr="00915044" w:rsidRDefault="00915044" w:rsidP="00915044">
      <w:pPr>
        <w:pStyle w:val="ListParagraph"/>
        <w:numPr>
          <w:ilvl w:val="0"/>
          <w:numId w:val="36"/>
        </w:numPr>
        <w:rPr>
          <w:rFonts w:cs="Arial"/>
          <w:b/>
        </w:rPr>
      </w:pPr>
      <w:r w:rsidRPr="00915044">
        <w:rPr>
          <w:rFonts w:cs="Arial"/>
          <w:b/>
        </w:rPr>
        <w:t>The IFoA believes that advice is needed throughout people’s working lifetime, not just at or close to retirement.</w:t>
      </w:r>
      <w:r>
        <w:rPr>
          <w:rFonts w:cs="Arial"/>
          <w:b/>
        </w:rPr>
        <w:t xml:space="preserve"> </w:t>
      </w:r>
      <w:r>
        <w:rPr>
          <w:rFonts w:cs="Arial"/>
          <w:bCs/>
        </w:rPr>
        <w:t xml:space="preserve">This includes a different et of challenges for </w:t>
      </w:r>
      <w:r w:rsidRPr="00915044">
        <w:rPr>
          <w:rFonts w:cs="Arial"/>
          <w:bCs/>
          <w:i/>
          <w:iCs/>
        </w:rPr>
        <w:t>‘saving during working lifetime’</w:t>
      </w:r>
      <w:r>
        <w:rPr>
          <w:rFonts w:cs="Arial"/>
          <w:bCs/>
        </w:rPr>
        <w:t xml:space="preserve"> and </w:t>
      </w:r>
      <w:r w:rsidRPr="00915044">
        <w:rPr>
          <w:rFonts w:cs="Arial"/>
          <w:bCs/>
          <w:i/>
          <w:iCs/>
        </w:rPr>
        <w:t>‘advice at or near retirement’</w:t>
      </w:r>
      <w:r>
        <w:rPr>
          <w:rFonts w:cs="Arial"/>
          <w:bCs/>
          <w:i/>
          <w:iCs/>
        </w:rPr>
        <w:t xml:space="preserve">. </w:t>
      </w:r>
      <w:r>
        <w:rPr>
          <w:rFonts w:cs="Arial"/>
          <w:bCs/>
        </w:rPr>
        <w:t xml:space="preserve">Full details below. </w:t>
      </w:r>
    </w:p>
    <w:p w14:paraId="2584E34F" w14:textId="77777777" w:rsidR="00915044" w:rsidRPr="00915044" w:rsidRDefault="00915044" w:rsidP="00915044">
      <w:pPr>
        <w:pStyle w:val="ListParagraph"/>
        <w:rPr>
          <w:rFonts w:cs="Arial"/>
          <w:b/>
        </w:rPr>
      </w:pPr>
    </w:p>
    <w:p w14:paraId="15096C1A" w14:textId="5685CEBD" w:rsidR="00915044" w:rsidRPr="0061142C" w:rsidRDefault="00915044" w:rsidP="0061142C">
      <w:pPr>
        <w:pStyle w:val="ListParagraph"/>
        <w:numPr>
          <w:ilvl w:val="0"/>
          <w:numId w:val="36"/>
        </w:numPr>
        <w:rPr>
          <w:rFonts w:cs="Arial"/>
          <w:b/>
        </w:rPr>
      </w:pPr>
      <w:r w:rsidRPr="00915044">
        <w:rPr>
          <w:rFonts w:cs="Arial"/>
          <w:b/>
        </w:rPr>
        <w:t>Retirement is not a discrete 'event' for many individuals</w:t>
      </w:r>
      <w:r w:rsidR="0061142C">
        <w:rPr>
          <w:rFonts w:cs="Arial"/>
          <w:b/>
        </w:rPr>
        <w:t xml:space="preserve">. </w:t>
      </w:r>
      <w:r w:rsidRPr="0061142C">
        <w:rPr>
          <w:rFonts w:cs="Arial"/>
          <w:bCs/>
        </w:rPr>
        <w:t>Pension schemes typically communicate with their members around six months before 'Normal Retirement Date' (DB schemes) or 'Preferred Retirement Date' (DC schemes). A more effective strategy would be to communicate with members around 5 years before these dates, to encourage better planning and in recognition of an increasingly phased approach to retirement.</w:t>
      </w:r>
    </w:p>
    <w:p w14:paraId="01798664" w14:textId="77777777" w:rsidR="0061142C" w:rsidRPr="0061142C" w:rsidRDefault="0061142C" w:rsidP="0061142C">
      <w:pPr>
        <w:pStyle w:val="ListParagraph"/>
        <w:rPr>
          <w:rFonts w:cs="Arial"/>
          <w:b/>
        </w:rPr>
      </w:pPr>
    </w:p>
    <w:p w14:paraId="66590DF6" w14:textId="238910D9" w:rsidR="0061142C" w:rsidRDefault="0061142C" w:rsidP="0061142C">
      <w:pPr>
        <w:pStyle w:val="ListParagraph"/>
        <w:numPr>
          <w:ilvl w:val="0"/>
          <w:numId w:val="36"/>
        </w:numPr>
        <w:rPr>
          <w:rFonts w:cs="Arial"/>
          <w:bCs/>
        </w:rPr>
      </w:pPr>
      <w:r w:rsidRPr="0061142C">
        <w:rPr>
          <w:rFonts w:cs="Arial"/>
          <w:b/>
        </w:rPr>
        <w:t xml:space="preserve">While some groups’ needs might be well met by existing pension provision options, the IFoA is of the view that better options could be made available for some groups.  </w:t>
      </w:r>
      <w:r w:rsidRPr="0061142C">
        <w:rPr>
          <w:rFonts w:cs="Arial"/>
          <w:bCs/>
        </w:rPr>
        <w:t>We are open minded about the possibilities and have recently been investigating two options in particular: Collective Defined Contribution (CDC) and Pooled Annuity Funds (also called “modern tontines”).</w:t>
      </w:r>
    </w:p>
    <w:p w14:paraId="6BC53FF4" w14:textId="77777777" w:rsidR="0061142C" w:rsidRPr="0061142C" w:rsidRDefault="0061142C" w:rsidP="0061142C">
      <w:pPr>
        <w:pStyle w:val="ListParagraph"/>
        <w:rPr>
          <w:rFonts w:cs="Arial"/>
          <w:bCs/>
        </w:rPr>
      </w:pPr>
    </w:p>
    <w:p w14:paraId="3C4E61D0" w14:textId="6E13AA5E" w:rsidR="0061142C" w:rsidRPr="0061142C" w:rsidRDefault="0061142C" w:rsidP="0061142C">
      <w:pPr>
        <w:pStyle w:val="ListParagraph"/>
        <w:numPr>
          <w:ilvl w:val="0"/>
          <w:numId w:val="36"/>
        </w:numPr>
        <w:rPr>
          <w:rFonts w:cs="Arial"/>
          <w:bCs/>
        </w:rPr>
      </w:pPr>
      <w:r w:rsidRPr="0061142C">
        <w:rPr>
          <w:rFonts w:cs="Arial"/>
          <w:b/>
        </w:rPr>
        <w:t>As well as the existing work and recommendations discussed within out ‘Great Risk Transfer’ report,, IFoA would be happy to engage with DWP on our ongoing work as it is published including within Decumulation Pathways and cost of living considerations</w:t>
      </w:r>
      <w:r>
        <w:rPr>
          <w:rFonts w:cs="Arial"/>
          <w:bCs/>
        </w:rPr>
        <w:t xml:space="preserve">. </w:t>
      </w:r>
    </w:p>
    <w:p w14:paraId="78EC56FD" w14:textId="037BD223" w:rsidR="00CF015D" w:rsidRDefault="00CF015D" w:rsidP="00956DFA">
      <w:pPr>
        <w:pBdr>
          <w:bottom w:val="single" w:sz="6" w:space="1" w:color="auto"/>
        </w:pBdr>
        <w:rPr>
          <w:rFonts w:cs="Arial"/>
        </w:rPr>
      </w:pPr>
    </w:p>
    <w:p w14:paraId="1E8CDCEF" w14:textId="10EF1DEA" w:rsidR="00416D77" w:rsidRDefault="00416D77" w:rsidP="00F805E1">
      <w:pPr>
        <w:spacing w:after="0" w:line="250" w:lineRule="exact"/>
        <w:rPr>
          <w:rFonts w:cs="Arial"/>
          <w:b/>
        </w:rPr>
      </w:pPr>
      <w:r>
        <w:rPr>
          <w:rFonts w:cs="Arial"/>
          <w:b/>
        </w:rPr>
        <w:t>The Call for Evidence has aimed specific questions at members and pension schemes, but the IFoA</w:t>
      </w:r>
      <w:r w:rsidR="0061142C">
        <w:rPr>
          <w:rFonts w:cs="Arial"/>
          <w:b/>
        </w:rPr>
        <w:t xml:space="preserve"> </w:t>
      </w:r>
      <w:r>
        <w:rPr>
          <w:rFonts w:cs="Arial"/>
          <w:b/>
        </w:rPr>
        <w:t xml:space="preserve">has a broader focus, so we have grouped our evidence under the specific themes highlighted in the Call for Evidence document. </w:t>
      </w:r>
    </w:p>
    <w:p w14:paraId="6C164653" w14:textId="77777777" w:rsidR="00416D77" w:rsidRDefault="00416D77" w:rsidP="00F805E1">
      <w:pPr>
        <w:spacing w:after="0" w:line="250" w:lineRule="exact"/>
        <w:rPr>
          <w:rFonts w:cs="Arial"/>
          <w:b/>
        </w:rPr>
      </w:pPr>
    </w:p>
    <w:p w14:paraId="00A85DF1" w14:textId="608BBE74" w:rsidR="006E343C" w:rsidRDefault="00F805E1" w:rsidP="00F805E1">
      <w:pPr>
        <w:spacing w:after="0" w:line="250" w:lineRule="exact"/>
        <w:rPr>
          <w:rFonts w:cs="Arial"/>
          <w:b/>
          <w:bCs/>
          <w:color w:val="484E52" w:themeColor="text1" w:themeTint="F2"/>
          <w:szCs w:val="20"/>
        </w:rPr>
      </w:pPr>
      <w:r>
        <w:rPr>
          <w:rFonts w:cs="Arial"/>
          <w:b/>
          <w:bCs/>
          <w:color w:val="484E52" w:themeColor="text1" w:themeTint="F2"/>
          <w:szCs w:val="20"/>
        </w:rPr>
        <w:t xml:space="preserve">Information, </w:t>
      </w:r>
      <w:r w:rsidR="00DC2989">
        <w:rPr>
          <w:rFonts w:cs="Arial"/>
          <w:b/>
          <w:bCs/>
          <w:color w:val="484E52" w:themeColor="text1" w:themeTint="F2"/>
          <w:szCs w:val="20"/>
        </w:rPr>
        <w:t>guidance,</w:t>
      </w:r>
      <w:r>
        <w:rPr>
          <w:rFonts w:cs="Arial"/>
          <w:b/>
          <w:bCs/>
          <w:color w:val="484E52" w:themeColor="text1" w:themeTint="F2"/>
          <w:szCs w:val="20"/>
        </w:rPr>
        <w:t xml:space="preserve"> and decision making</w:t>
      </w:r>
      <w:r w:rsidR="00325817">
        <w:rPr>
          <w:rFonts w:cs="Arial"/>
          <w:b/>
          <w:bCs/>
          <w:color w:val="484E52" w:themeColor="text1" w:themeTint="F2"/>
          <w:szCs w:val="20"/>
        </w:rPr>
        <w:t xml:space="preserve"> </w:t>
      </w:r>
    </w:p>
    <w:p w14:paraId="56289275" w14:textId="77777777" w:rsidR="006E343C" w:rsidRDefault="006E343C" w:rsidP="00983BC0">
      <w:pPr>
        <w:spacing w:after="0" w:line="250" w:lineRule="exact"/>
        <w:rPr>
          <w:rFonts w:cs="Arial"/>
        </w:rPr>
      </w:pPr>
    </w:p>
    <w:p w14:paraId="4B8701ED" w14:textId="1B93BD08" w:rsidR="00DC2989" w:rsidRDefault="005914E1" w:rsidP="00DC2989">
      <w:pPr>
        <w:spacing w:after="0" w:line="250" w:lineRule="exact"/>
        <w:rPr>
          <w:rFonts w:cs="Arial"/>
          <w:bCs/>
        </w:rPr>
      </w:pPr>
      <w:r>
        <w:rPr>
          <w:rFonts w:cs="Arial"/>
        </w:rPr>
        <w:t xml:space="preserve">The IFoA </w:t>
      </w:r>
      <w:r w:rsidR="002D5243">
        <w:rPr>
          <w:rFonts w:cs="Arial"/>
        </w:rPr>
        <w:t xml:space="preserve">is concerned </w:t>
      </w:r>
      <w:r w:rsidR="00B911FF">
        <w:rPr>
          <w:rFonts w:cs="Arial"/>
        </w:rPr>
        <w:t xml:space="preserve">that </w:t>
      </w:r>
      <w:r w:rsidR="002D5243">
        <w:rPr>
          <w:rFonts w:cs="Arial"/>
        </w:rPr>
        <w:t xml:space="preserve">many </w:t>
      </w:r>
      <w:r w:rsidR="00B911FF">
        <w:rPr>
          <w:rFonts w:cs="Arial"/>
        </w:rPr>
        <w:t>UK households are not</w:t>
      </w:r>
      <w:r w:rsidR="00EB048A">
        <w:rPr>
          <w:rFonts w:cs="Arial"/>
        </w:rPr>
        <w:t xml:space="preserve"> saving enough for later </w:t>
      </w:r>
      <w:r w:rsidR="00DC2989">
        <w:rPr>
          <w:rFonts w:cs="Arial"/>
        </w:rPr>
        <w:t>life,</w:t>
      </w:r>
      <w:r>
        <w:rPr>
          <w:rFonts w:cs="Arial"/>
        </w:rPr>
        <w:t xml:space="preserve"> and</w:t>
      </w:r>
      <w:r w:rsidR="0064418C">
        <w:rPr>
          <w:rFonts w:cs="Arial"/>
        </w:rPr>
        <w:t xml:space="preserve"> that</w:t>
      </w:r>
      <w:r>
        <w:rPr>
          <w:rFonts w:cs="Arial"/>
        </w:rPr>
        <w:t xml:space="preserve"> </w:t>
      </w:r>
      <w:r w:rsidR="002D5243">
        <w:rPr>
          <w:rFonts w:cs="Arial"/>
        </w:rPr>
        <w:t>many</w:t>
      </w:r>
      <w:r>
        <w:rPr>
          <w:rFonts w:cs="Arial"/>
        </w:rPr>
        <w:t xml:space="preserve"> are ill-equipped to deal with the risk of running out of money in retirement. </w:t>
      </w:r>
      <w:r w:rsidR="00DC2989" w:rsidRPr="00DC2989">
        <w:rPr>
          <w:rFonts w:cs="Arial"/>
          <w:bCs/>
        </w:rPr>
        <w:t xml:space="preserve">Since April 2015 individuals have had greater flexibility in how they can access their pension benefits, for example they are no longer required to take an annuity and can now access their benefits as cash or transfer them to a drawdown arrangement. </w:t>
      </w:r>
    </w:p>
    <w:p w14:paraId="564AF7CA" w14:textId="1510D4FB" w:rsidR="00DC2989" w:rsidRDefault="00DC2989" w:rsidP="00DC2989">
      <w:pPr>
        <w:spacing w:after="0" w:line="250" w:lineRule="exact"/>
        <w:rPr>
          <w:rFonts w:cs="Arial"/>
          <w:bCs/>
        </w:rPr>
      </w:pPr>
    </w:p>
    <w:p w14:paraId="17720449" w14:textId="3F933B9D" w:rsidR="00DC2989" w:rsidRPr="00DC2989" w:rsidRDefault="00DC2989" w:rsidP="00DC2989">
      <w:pPr>
        <w:spacing w:after="0" w:line="250" w:lineRule="exact"/>
        <w:rPr>
          <w:rFonts w:cs="Arial"/>
          <w:bCs/>
        </w:rPr>
      </w:pPr>
      <w:r w:rsidRPr="00DC2989">
        <w:rPr>
          <w:rFonts w:cs="Arial"/>
          <w:bCs/>
        </w:rPr>
        <w:t xml:space="preserve">In 2016, one year into the new changes, the </w:t>
      </w:r>
      <w:r>
        <w:rPr>
          <w:rFonts w:cs="Arial"/>
          <w:bCs/>
        </w:rPr>
        <w:t>IFoA</w:t>
      </w:r>
      <w:r w:rsidRPr="00DC2989">
        <w:rPr>
          <w:rFonts w:cs="Arial"/>
          <w:bCs/>
        </w:rPr>
        <w:t xml:space="preserve"> carried out preliminary research into how people were responding to these new flexibilities. The research found that there were reasonably high levels of awareness, albeit mixed views as to whether the flexibilities were </w:t>
      </w:r>
      <w:r w:rsidR="00EA5F71">
        <w:rPr>
          <w:rFonts w:cs="Arial"/>
          <w:bCs/>
        </w:rPr>
        <w:t>positive overall</w:t>
      </w:r>
      <w:r w:rsidRPr="00DC2989">
        <w:rPr>
          <w:rFonts w:cs="Arial"/>
          <w:bCs/>
        </w:rPr>
        <w:t xml:space="preserve">. </w:t>
      </w:r>
    </w:p>
    <w:p w14:paraId="3DFF8C53" w14:textId="77777777" w:rsidR="00DC2989" w:rsidRPr="00DC2989" w:rsidRDefault="00DC2989" w:rsidP="00DC2989">
      <w:pPr>
        <w:spacing w:after="0" w:line="250" w:lineRule="exact"/>
        <w:rPr>
          <w:rFonts w:cs="Arial"/>
          <w:bCs/>
        </w:rPr>
      </w:pPr>
    </w:p>
    <w:p w14:paraId="0FB71D01" w14:textId="57CAEDEA" w:rsidR="00DC2989" w:rsidRDefault="00DC2989" w:rsidP="00DC2989">
      <w:pPr>
        <w:spacing w:after="0" w:line="250" w:lineRule="exact"/>
        <w:rPr>
          <w:rFonts w:cs="Arial"/>
          <w:bCs/>
        </w:rPr>
      </w:pPr>
      <w:r w:rsidRPr="00DC2989">
        <w:rPr>
          <w:rFonts w:cs="Arial"/>
          <w:bCs/>
        </w:rPr>
        <w:t>Seven years on from the launch of pension</w:t>
      </w:r>
      <w:r w:rsidR="00EA5F71">
        <w:rPr>
          <w:rFonts w:cs="Arial"/>
          <w:bCs/>
        </w:rPr>
        <w:t>s</w:t>
      </w:r>
      <w:r w:rsidRPr="00DC2989">
        <w:rPr>
          <w:rFonts w:cs="Arial"/>
          <w:bCs/>
        </w:rPr>
        <w:t xml:space="preserve"> freedoms, we conducted the research again</w:t>
      </w:r>
      <w:r>
        <w:rPr>
          <w:rFonts w:cs="Arial"/>
          <w:bCs/>
        </w:rPr>
        <w:t xml:space="preserve"> </w:t>
      </w:r>
      <w:r w:rsidR="00EA5F71">
        <w:rPr>
          <w:rFonts w:cs="Arial"/>
          <w:bCs/>
        </w:rPr>
        <w:t xml:space="preserve">in </w:t>
      </w:r>
      <w:r>
        <w:rPr>
          <w:rFonts w:cs="Arial"/>
          <w:bCs/>
        </w:rPr>
        <w:t>January 2022</w:t>
      </w:r>
      <w:r w:rsidRPr="00DC2989">
        <w:rPr>
          <w:rFonts w:cs="Arial"/>
          <w:bCs/>
        </w:rPr>
        <w:t xml:space="preserve"> to find out whether the trends </w:t>
      </w:r>
      <w:r w:rsidR="00EA5F71" w:rsidRPr="00DC2989">
        <w:rPr>
          <w:rFonts w:cs="Arial"/>
          <w:bCs/>
        </w:rPr>
        <w:t xml:space="preserve">originally </w:t>
      </w:r>
      <w:r w:rsidRPr="00DC2989">
        <w:rPr>
          <w:rFonts w:cs="Arial"/>
          <w:bCs/>
        </w:rPr>
        <w:t xml:space="preserve">identified had changed. </w:t>
      </w:r>
      <w:r>
        <w:rPr>
          <w:rFonts w:cs="Arial"/>
          <w:bCs/>
        </w:rPr>
        <w:t>You can access a full breakdown o</w:t>
      </w:r>
      <w:r w:rsidR="00EA5F71">
        <w:rPr>
          <w:rFonts w:cs="Arial"/>
          <w:bCs/>
        </w:rPr>
        <w:t>f</w:t>
      </w:r>
      <w:r>
        <w:rPr>
          <w:rFonts w:cs="Arial"/>
          <w:bCs/>
        </w:rPr>
        <w:t xml:space="preserve"> our findings by downloading the full report </w:t>
      </w:r>
      <w:hyperlink r:id="rId14" w:history="1">
        <w:r>
          <w:rPr>
            <w:rStyle w:val="Hyperlink"/>
            <w:rFonts w:cs="Arial"/>
            <w:bCs/>
          </w:rPr>
          <w:t>here</w:t>
        </w:r>
      </w:hyperlink>
      <w:r>
        <w:rPr>
          <w:rFonts w:cs="Arial"/>
          <w:bCs/>
        </w:rPr>
        <w:t xml:space="preserve">. For the purposes of the Call for Evidence, please find key relevant considerations from the research below. </w:t>
      </w:r>
      <w:r w:rsidR="0064418C">
        <w:rPr>
          <w:rFonts w:cs="Arial"/>
          <w:bCs/>
        </w:rPr>
        <w:t>We believe that</w:t>
      </w:r>
      <w:r w:rsidR="00F44E4C">
        <w:rPr>
          <w:rFonts w:cs="Arial"/>
          <w:bCs/>
        </w:rPr>
        <w:t xml:space="preserve"> the findings</w:t>
      </w:r>
      <w:r w:rsidR="0064418C">
        <w:rPr>
          <w:rFonts w:cs="Arial"/>
          <w:bCs/>
        </w:rPr>
        <w:t xml:space="preserve"> are relevant to many of the questions posed</w:t>
      </w:r>
      <w:r w:rsidR="00F44E4C">
        <w:rPr>
          <w:rFonts w:cs="Arial"/>
          <w:bCs/>
        </w:rPr>
        <w:t>, particularly those in relation to information, guidance and decision making.</w:t>
      </w:r>
    </w:p>
    <w:p w14:paraId="2FF4C269" w14:textId="05B2EDA7" w:rsidR="00DC2989" w:rsidRDefault="00DC2989" w:rsidP="00DC2989">
      <w:pPr>
        <w:spacing w:after="0" w:line="250" w:lineRule="exact"/>
        <w:rPr>
          <w:rFonts w:cs="Arial"/>
          <w:bCs/>
        </w:rPr>
      </w:pPr>
    </w:p>
    <w:p w14:paraId="5E9D8B0D" w14:textId="77777777" w:rsidR="00DC2989" w:rsidRPr="00DC2989" w:rsidRDefault="00DC2989" w:rsidP="00DC2989">
      <w:pPr>
        <w:spacing w:after="0" w:line="250" w:lineRule="exact"/>
        <w:rPr>
          <w:rFonts w:cs="Arial"/>
          <w:b/>
          <w:bCs/>
        </w:rPr>
      </w:pPr>
      <w:r w:rsidRPr="00DC2989">
        <w:rPr>
          <w:rFonts w:cs="Arial"/>
          <w:b/>
          <w:bCs/>
        </w:rPr>
        <w:t>Our latest study was carried out by YouGov in January 2022 and covered 2,065 adults in Great Britain aged over 55.</w:t>
      </w:r>
    </w:p>
    <w:p w14:paraId="5CEC63FD" w14:textId="77777777" w:rsidR="00DC2989" w:rsidRPr="00DC2989" w:rsidRDefault="00DC2989" w:rsidP="00DC2989">
      <w:pPr>
        <w:spacing w:after="0" w:line="250" w:lineRule="exact"/>
        <w:rPr>
          <w:rFonts w:cs="Arial"/>
          <w:bCs/>
        </w:rPr>
      </w:pPr>
    </w:p>
    <w:p w14:paraId="73C4BAD2" w14:textId="77777777" w:rsidR="00DC2989" w:rsidRPr="00DC2989" w:rsidRDefault="00DC2989" w:rsidP="00DC2989">
      <w:pPr>
        <w:spacing w:after="0" w:line="250" w:lineRule="exact"/>
        <w:rPr>
          <w:rFonts w:cs="Arial"/>
          <w:bCs/>
        </w:rPr>
      </w:pPr>
      <w:r w:rsidRPr="00DC2989">
        <w:rPr>
          <w:rFonts w:cs="Arial"/>
          <w:bCs/>
        </w:rPr>
        <w:t>It showed that:</w:t>
      </w:r>
    </w:p>
    <w:p w14:paraId="5D40094B" w14:textId="77777777" w:rsidR="00DC2989" w:rsidRPr="00DC2989" w:rsidRDefault="00DC2989" w:rsidP="00DC2989">
      <w:pPr>
        <w:spacing w:after="0" w:line="250" w:lineRule="exact"/>
        <w:rPr>
          <w:rFonts w:cs="Arial"/>
          <w:bCs/>
        </w:rPr>
      </w:pPr>
    </w:p>
    <w:p w14:paraId="7CB15796" w14:textId="77777777" w:rsidR="00DC2989" w:rsidRPr="00DC2989" w:rsidRDefault="00DC2989" w:rsidP="00DC2989">
      <w:pPr>
        <w:numPr>
          <w:ilvl w:val="0"/>
          <w:numId w:val="30"/>
        </w:numPr>
        <w:spacing w:after="0" w:line="250" w:lineRule="exact"/>
        <w:rPr>
          <w:rFonts w:cs="Arial"/>
          <w:bCs/>
        </w:rPr>
      </w:pPr>
      <w:r w:rsidRPr="00DC2989">
        <w:rPr>
          <w:rFonts w:cs="Arial"/>
          <w:b/>
          <w:bCs/>
        </w:rPr>
        <w:t xml:space="preserve">Those who may need it most are least likely to access savings </w:t>
      </w:r>
      <w:r w:rsidRPr="00DC2989">
        <w:rPr>
          <w:rFonts w:cs="Arial"/>
          <w:bCs/>
        </w:rPr>
        <w:t>– where individuals had not accessed their pension savings since the new rules were introduced, this was mainly because they did not have a need to access them. However, there was a significant difference by social background, with individuals from middle-class backgrounds being 15% more likely than those from working-class backgrounds to say that they did not need to access their pension. Individuals from working-class backgrounds were more likely to state that they did not know how to access their pension or needed more information about their options.</w:t>
      </w:r>
    </w:p>
    <w:p w14:paraId="3A7A116D" w14:textId="77777777" w:rsidR="00DC2989" w:rsidRPr="00DC2989" w:rsidRDefault="00DC2989" w:rsidP="00DC2989">
      <w:pPr>
        <w:spacing w:after="0" w:line="250" w:lineRule="exact"/>
        <w:rPr>
          <w:rFonts w:cs="Arial"/>
          <w:bCs/>
        </w:rPr>
      </w:pPr>
    </w:p>
    <w:p w14:paraId="77FB46DB" w14:textId="77777777" w:rsidR="00DC2989" w:rsidRPr="00DC2989" w:rsidRDefault="00DC2989" w:rsidP="00DC2989">
      <w:pPr>
        <w:numPr>
          <w:ilvl w:val="0"/>
          <w:numId w:val="30"/>
        </w:numPr>
        <w:spacing w:after="0" w:line="250" w:lineRule="exact"/>
        <w:rPr>
          <w:rFonts w:cs="Arial"/>
          <w:bCs/>
        </w:rPr>
      </w:pPr>
      <w:r w:rsidRPr="00DC2989">
        <w:rPr>
          <w:rFonts w:cs="Arial"/>
          <w:b/>
          <w:bCs/>
        </w:rPr>
        <w:t>Limited understanding</w:t>
      </w:r>
      <w:r w:rsidRPr="00DC2989">
        <w:rPr>
          <w:rFonts w:cs="Arial"/>
          <w:bCs/>
        </w:rPr>
        <w:t xml:space="preserve"> – despite a high proportion of respondents claiming that advice was not necessary, a large proportion of individuals showed a worrying lack of understanding about pension products. Only 1 in 4 (26%) individuals ‘fully understand’ the charges they are paying for their defined contribution pension, with 17% admitting to ‘not understanding at all’. Similarly, only a third (30%) were aware of how their pension savings are invested, with 42% having ‘no idea’.</w:t>
      </w:r>
    </w:p>
    <w:p w14:paraId="7DDA2B9A" w14:textId="77777777" w:rsidR="00DC2989" w:rsidRPr="00DC2989" w:rsidRDefault="00DC2989" w:rsidP="00DC2989">
      <w:pPr>
        <w:spacing w:after="0" w:line="250" w:lineRule="exact"/>
        <w:rPr>
          <w:rFonts w:cs="Arial"/>
          <w:bCs/>
        </w:rPr>
      </w:pPr>
    </w:p>
    <w:p w14:paraId="35C7B073" w14:textId="14BBF454" w:rsidR="00DC2989" w:rsidRPr="00DC2989" w:rsidRDefault="00DC2989" w:rsidP="00DC2989">
      <w:pPr>
        <w:numPr>
          <w:ilvl w:val="0"/>
          <w:numId w:val="30"/>
        </w:numPr>
        <w:spacing w:after="0" w:line="250" w:lineRule="exact"/>
        <w:rPr>
          <w:rFonts w:cs="Arial"/>
          <w:bCs/>
        </w:rPr>
      </w:pPr>
      <w:r w:rsidRPr="00DC2989">
        <w:rPr>
          <w:rFonts w:cs="Arial"/>
          <w:b/>
          <w:bCs/>
        </w:rPr>
        <w:t xml:space="preserve">Pension Wise could and should be used more </w:t>
      </w:r>
      <w:r w:rsidRPr="00DC2989">
        <w:rPr>
          <w:rFonts w:cs="Arial"/>
          <w:bCs/>
        </w:rPr>
        <w:t xml:space="preserve">– where pension savings had been accessed, only </w:t>
      </w:r>
      <w:r w:rsidR="00EA5F71">
        <w:rPr>
          <w:rFonts w:cs="Arial"/>
          <w:bCs/>
        </w:rPr>
        <w:t>1</w:t>
      </w:r>
      <w:r w:rsidR="00EA5F71" w:rsidRPr="00DC2989">
        <w:rPr>
          <w:rFonts w:cs="Arial"/>
          <w:bCs/>
        </w:rPr>
        <w:t xml:space="preserve"> </w:t>
      </w:r>
      <w:r w:rsidRPr="00DC2989">
        <w:rPr>
          <w:rFonts w:cs="Arial"/>
          <w:bCs/>
        </w:rPr>
        <w:t xml:space="preserve">in </w:t>
      </w:r>
      <w:r w:rsidR="00EA5F71">
        <w:rPr>
          <w:rFonts w:cs="Arial"/>
          <w:bCs/>
        </w:rPr>
        <w:t>5</w:t>
      </w:r>
      <w:r w:rsidR="00EA5F71" w:rsidRPr="00DC2989">
        <w:rPr>
          <w:rFonts w:cs="Arial"/>
          <w:bCs/>
        </w:rPr>
        <w:t xml:space="preserve"> </w:t>
      </w:r>
      <w:r w:rsidRPr="00DC2989">
        <w:rPr>
          <w:rFonts w:cs="Arial"/>
          <w:bCs/>
        </w:rPr>
        <w:t xml:space="preserve">individuals (22%) had used the </w:t>
      </w:r>
      <w:r w:rsidR="00EA5F71">
        <w:rPr>
          <w:rFonts w:cs="Arial"/>
          <w:bCs/>
        </w:rPr>
        <w:t>G</w:t>
      </w:r>
      <w:r w:rsidRPr="00DC2989">
        <w:rPr>
          <w:rFonts w:cs="Arial"/>
          <w:bCs/>
        </w:rPr>
        <w:t xml:space="preserve">overnment’s pensions guidance service, Pension Wise. </w:t>
      </w:r>
      <w:r w:rsidR="00EA5F71">
        <w:rPr>
          <w:rFonts w:cs="Arial"/>
          <w:bCs/>
        </w:rPr>
        <w:t>2</w:t>
      </w:r>
      <w:r w:rsidR="00EA5F71" w:rsidRPr="00DC2989">
        <w:rPr>
          <w:rFonts w:cs="Arial"/>
          <w:bCs/>
        </w:rPr>
        <w:t xml:space="preserve"> </w:t>
      </w:r>
      <w:r w:rsidRPr="00DC2989">
        <w:rPr>
          <w:rFonts w:cs="Arial"/>
          <w:bCs/>
        </w:rPr>
        <w:t xml:space="preserve">in </w:t>
      </w:r>
      <w:r w:rsidR="00EA5F71">
        <w:rPr>
          <w:rFonts w:cs="Arial"/>
          <w:bCs/>
        </w:rPr>
        <w:t>5</w:t>
      </w:r>
      <w:r w:rsidR="00EA5F71" w:rsidRPr="00DC2989">
        <w:rPr>
          <w:rFonts w:cs="Arial"/>
          <w:bCs/>
        </w:rPr>
        <w:t xml:space="preserve"> </w:t>
      </w:r>
      <w:r w:rsidRPr="00DC2989">
        <w:rPr>
          <w:rFonts w:cs="Arial"/>
          <w:bCs/>
        </w:rPr>
        <w:t>are taking no form of guidance or advice at all.</w:t>
      </w:r>
    </w:p>
    <w:p w14:paraId="48C90F35" w14:textId="77777777" w:rsidR="00DC2989" w:rsidRPr="00DC2989" w:rsidRDefault="00DC2989" w:rsidP="00DC2989">
      <w:pPr>
        <w:spacing w:after="0" w:line="250" w:lineRule="exact"/>
        <w:rPr>
          <w:rFonts w:cs="Arial"/>
          <w:bCs/>
        </w:rPr>
      </w:pPr>
    </w:p>
    <w:p w14:paraId="64593F84" w14:textId="5F2CEEE0" w:rsidR="00DC2989" w:rsidRPr="00DC2989" w:rsidRDefault="00DC2989" w:rsidP="00DC2989">
      <w:pPr>
        <w:numPr>
          <w:ilvl w:val="0"/>
          <w:numId w:val="30"/>
        </w:numPr>
        <w:spacing w:after="0" w:line="250" w:lineRule="exact"/>
        <w:rPr>
          <w:rFonts w:cs="Arial"/>
          <w:bCs/>
        </w:rPr>
      </w:pPr>
      <w:r w:rsidRPr="00DC2989">
        <w:rPr>
          <w:rFonts w:cs="Arial"/>
          <w:b/>
          <w:bCs/>
        </w:rPr>
        <w:t>A gender imbalance</w:t>
      </w:r>
      <w:r w:rsidRPr="00DC2989">
        <w:rPr>
          <w:rFonts w:cs="Arial"/>
          <w:bCs/>
        </w:rPr>
        <w:t xml:space="preserve"> – there was evidence of a gender imbalance, with 58% of men stating that they did not need to take guidance or advice, compared to 43% of women. Furthermore, where advice was required, men were 15% more likely to take tailored regulated financial advice, whereas women were 7% more likely to access generic guidance from Pension Wise and 6% more likely to </w:t>
      </w:r>
      <w:r w:rsidRPr="00DC2989">
        <w:rPr>
          <w:rFonts w:cs="Arial"/>
          <w:bCs/>
        </w:rPr>
        <w:lastRenderedPageBreak/>
        <w:t xml:space="preserve">ask friends or family. Women were 8% more likely to </w:t>
      </w:r>
      <w:r w:rsidR="00EA5F71">
        <w:rPr>
          <w:rFonts w:cs="Arial"/>
          <w:bCs/>
        </w:rPr>
        <w:t>identify</w:t>
      </w:r>
      <w:r w:rsidR="00EA5F71" w:rsidRPr="00DC2989">
        <w:rPr>
          <w:rFonts w:cs="Arial"/>
          <w:bCs/>
        </w:rPr>
        <w:t xml:space="preserve"> </w:t>
      </w:r>
      <w:r w:rsidRPr="00DC2989">
        <w:rPr>
          <w:rFonts w:cs="Arial"/>
          <w:bCs/>
        </w:rPr>
        <w:t xml:space="preserve">the cost or not knowing where to find advice as the barrier. </w:t>
      </w:r>
    </w:p>
    <w:p w14:paraId="4EE68DEF" w14:textId="77777777" w:rsidR="00DC2989" w:rsidRPr="00DC2989" w:rsidRDefault="00DC2989" w:rsidP="00DC2989">
      <w:pPr>
        <w:spacing w:after="0" w:line="250" w:lineRule="exact"/>
        <w:rPr>
          <w:rFonts w:cs="Arial"/>
          <w:bCs/>
        </w:rPr>
      </w:pPr>
    </w:p>
    <w:p w14:paraId="10E025ED" w14:textId="5FED6245" w:rsidR="00DC2989" w:rsidRPr="00915044" w:rsidRDefault="00DC2989" w:rsidP="00DC2989">
      <w:pPr>
        <w:numPr>
          <w:ilvl w:val="0"/>
          <w:numId w:val="30"/>
        </w:numPr>
        <w:spacing w:after="0" w:line="250" w:lineRule="exact"/>
        <w:rPr>
          <w:rFonts w:cs="Arial"/>
          <w:bCs/>
        </w:rPr>
      </w:pPr>
      <w:r w:rsidRPr="00DC2989">
        <w:rPr>
          <w:rFonts w:cs="Arial"/>
          <w:b/>
          <w:bCs/>
        </w:rPr>
        <w:t>Flexibility is a good thing</w:t>
      </w:r>
      <w:r w:rsidRPr="00DC2989">
        <w:rPr>
          <w:rFonts w:cs="Arial"/>
          <w:bCs/>
        </w:rPr>
        <w:t xml:space="preserve"> – reassuringly, 68% of individuals who accessed their pensions savings since 2016 would not have done anything differently. Of those individuals who would have done something different, 9% would have planned earlier so as to understand their options better</w:t>
      </w:r>
      <w:r w:rsidRPr="00DC2989" w:rsidDel="0065370B">
        <w:rPr>
          <w:rFonts w:cs="Arial"/>
          <w:bCs/>
        </w:rPr>
        <w:t xml:space="preserve"> </w:t>
      </w:r>
      <w:r w:rsidRPr="00DC2989">
        <w:rPr>
          <w:rFonts w:cs="Arial"/>
          <w:bCs/>
        </w:rPr>
        <w:t xml:space="preserve">and 9% would have liked more flexibility or cash. </w:t>
      </w:r>
    </w:p>
    <w:p w14:paraId="0BBC07BE" w14:textId="0AA7D588" w:rsidR="0064418C" w:rsidRDefault="00DC2989" w:rsidP="0064418C">
      <w:pPr>
        <w:numPr>
          <w:ilvl w:val="0"/>
          <w:numId w:val="30"/>
        </w:numPr>
        <w:spacing w:after="0" w:line="250" w:lineRule="exact"/>
        <w:rPr>
          <w:rFonts w:cs="Arial"/>
          <w:bCs/>
        </w:rPr>
      </w:pPr>
      <w:r w:rsidRPr="00DC2989">
        <w:rPr>
          <w:rFonts w:cs="Arial"/>
          <w:b/>
          <w:bCs/>
        </w:rPr>
        <w:t xml:space="preserve">Money concerns </w:t>
      </w:r>
      <w:r w:rsidRPr="00DC2989">
        <w:rPr>
          <w:rFonts w:cs="Arial"/>
          <w:bCs/>
        </w:rPr>
        <w:t xml:space="preserve">– </w:t>
      </w:r>
      <w:r w:rsidR="00EA5F71">
        <w:rPr>
          <w:rFonts w:cs="Arial"/>
          <w:bCs/>
        </w:rPr>
        <w:t>1</w:t>
      </w:r>
      <w:r w:rsidR="00EA5F71" w:rsidRPr="00DC2989">
        <w:rPr>
          <w:rFonts w:cs="Arial"/>
          <w:bCs/>
        </w:rPr>
        <w:t xml:space="preserve"> </w:t>
      </w:r>
      <w:r w:rsidRPr="00DC2989">
        <w:rPr>
          <w:rFonts w:cs="Arial"/>
          <w:bCs/>
        </w:rPr>
        <w:t>in 5 respondents (22%) worry about running out of money in retirement, while 18% worry about not fully understanding their options or products. These concerns were highest in the respondents aged 55–64 who will be approaching retirement within the next five to ten years.</w:t>
      </w:r>
    </w:p>
    <w:p w14:paraId="15F6A3D2" w14:textId="77777777" w:rsidR="00F44E4C" w:rsidRDefault="00F44E4C" w:rsidP="0064418C">
      <w:pPr>
        <w:spacing w:after="0" w:line="250" w:lineRule="exact"/>
        <w:rPr>
          <w:rFonts w:cs="Arial"/>
          <w:bCs/>
        </w:rPr>
      </w:pPr>
    </w:p>
    <w:p w14:paraId="164D576F" w14:textId="2EB5576A" w:rsidR="0064418C" w:rsidRDefault="0064418C" w:rsidP="0064418C">
      <w:pPr>
        <w:spacing w:after="0" w:line="250" w:lineRule="exact"/>
        <w:rPr>
          <w:rFonts w:cs="Arial"/>
          <w:bCs/>
        </w:rPr>
      </w:pPr>
      <w:r>
        <w:rPr>
          <w:rFonts w:cs="Arial"/>
          <w:bCs/>
        </w:rPr>
        <w:t>The IFoA is currently working on explorin</w:t>
      </w:r>
      <w:r w:rsidR="00F44E4C">
        <w:rPr>
          <w:rFonts w:cs="Arial"/>
          <w:bCs/>
        </w:rPr>
        <w:t>g the trends we found</w:t>
      </w:r>
      <w:r>
        <w:rPr>
          <w:rFonts w:cs="Arial"/>
          <w:bCs/>
        </w:rPr>
        <w:t xml:space="preserve"> in the research</w:t>
      </w:r>
      <w:r w:rsidR="00F44E4C">
        <w:rPr>
          <w:rFonts w:cs="Arial"/>
          <w:bCs/>
        </w:rPr>
        <w:t xml:space="preserve"> further,</w:t>
      </w:r>
      <w:r>
        <w:rPr>
          <w:rFonts w:cs="Arial"/>
          <w:bCs/>
        </w:rPr>
        <w:t xml:space="preserve"> with a view to publishing a more fulsome analysis paper later in 2022. We are happy to share the full version of the report when it is complete</w:t>
      </w:r>
      <w:r w:rsidR="00052A6F">
        <w:rPr>
          <w:rFonts w:cs="Arial"/>
          <w:bCs/>
        </w:rPr>
        <w:t>. In the meantime,</w:t>
      </w:r>
      <w:r w:rsidR="00F44E4C">
        <w:rPr>
          <w:rFonts w:cs="Arial"/>
          <w:bCs/>
        </w:rPr>
        <w:t xml:space="preserve"> </w:t>
      </w:r>
      <w:r>
        <w:rPr>
          <w:rFonts w:cs="Arial"/>
          <w:bCs/>
        </w:rPr>
        <w:t xml:space="preserve">please </w:t>
      </w:r>
      <w:r w:rsidR="00052A6F">
        <w:rPr>
          <w:rFonts w:cs="Arial"/>
          <w:bCs/>
        </w:rPr>
        <w:t xml:space="preserve">see </w:t>
      </w:r>
      <w:r>
        <w:rPr>
          <w:rFonts w:cs="Arial"/>
          <w:bCs/>
        </w:rPr>
        <w:t xml:space="preserve">the headline themes below. </w:t>
      </w:r>
    </w:p>
    <w:p w14:paraId="183994ED" w14:textId="74130875" w:rsidR="0064418C" w:rsidRDefault="0064418C" w:rsidP="0064418C">
      <w:pPr>
        <w:spacing w:after="0" w:line="250" w:lineRule="exact"/>
        <w:rPr>
          <w:rFonts w:cs="Arial"/>
          <w:bCs/>
        </w:rPr>
      </w:pPr>
    </w:p>
    <w:p w14:paraId="2573BFA3" w14:textId="77777777" w:rsidR="0064418C" w:rsidRPr="0064418C" w:rsidRDefault="0064418C" w:rsidP="0064418C">
      <w:pPr>
        <w:numPr>
          <w:ilvl w:val="0"/>
          <w:numId w:val="31"/>
        </w:numPr>
        <w:spacing w:after="0" w:line="250" w:lineRule="exact"/>
        <w:rPr>
          <w:rFonts w:cs="Arial"/>
          <w:bCs/>
        </w:rPr>
      </w:pPr>
      <w:r w:rsidRPr="0064418C">
        <w:rPr>
          <w:rFonts w:cs="Arial"/>
          <w:b/>
          <w:bCs/>
        </w:rPr>
        <w:t>Awareness of reforms</w:t>
      </w:r>
      <w:r w:rsidRPr="0064418C">
        <w:rPr>
          <w:rFonts w:cs="Arial"/>
          <w:bCs/>
        </w:rPr>
        <w:t xml:space="preserve"> – compared with the initial survey, the reforms are more clearly perceived as a ‘good thing’.</w:t>
      </w:r>
    </w:p>
    <w:p w14:paraId="648BA016" w14:textId="77777777" w:rsidR="0064418C" w:rsidRPr="0064418C" w:rsidRDefault="0064418C" w:rsidP="0064418C">
      <w:pPr>
        <w:spacing w:after="0" w:line="250" w:lineRule="exact"/>
        <w:rPr>
          <w:rFonts w:cs="Arial"/>
          <w:bCs/>
        </w:rPr>
      </w:pPr>
    </w:p>
    <w:p w14:paraId="5B895DF5" w14:textId="645E97C7" w:rsidR="0064418C" w:rsidRPr="0064418C" w:rsidRDefault="0064418C" w:rsidP="0064418C">
      <w:pPr>
        <w:numPr>
          <w:ilvl w:val="0"/>
          <w:numId w:val="31"/>
        </w:numPr>
        <w:spacing w:after="0" w:line="250" w:lineRule="exact"/>
        <w:rPr>
          <w:rFonts w:cs="Arial"/>
          <w:bCs/>
        </w:rPr>
      </w:pPr>
      <w:r w:rsidRPr="0064418C">
        <w:rPr>
          <w:rFonts w:cs="Arial"/>
          <w:b/>
          <w:bCs/>
        </w:rPr>
        <w:t xml:space="preserve">More encouragement for access to guidance and advice needed </w:t>
      </w:r>
      <w:r w:rsidRPr="0064418C">
        <w:rPr>
          <w:rFonts w:cs="Arial"/>
          <w:bCs/>
        </w:rPr>
        <w:t>–</w:t>
      </w:r>
      <w:r w:rsidRPr="0064418C">
        <w:rPr>
          <w:rFonts w:cs="Arial"/>
          <w:b/>
          <w:bCs/>
        </w:rPr>
        <w:t xml:space="preserve"> </w:t>
      </w:r>
      <w:r w:rsidRPr="0064418C">
        <w:rPr>
          <w:rFonts w:cs="Arial"/>
          <w:bCs/>
        </w:rPr>
        <w:t xml:space="preserve">actions are needed to improve take-up of guidance and access to good-quality regulated financial advice. This supports the </w:t>
      </w:r>
      <w:r w:rsidR="00052A6F">
        <w:rPr>
          <w:rFonts w:cs="Arial"/>
          <w:bCs/>
        </w:rPr>
        <w:t>G</w:t>
      </w:r>
      <w:r w:rsidRPr="0064418C">
        <w:rPr>
          <w:rFonts w:cs="Arial"/>
          <w:bCs/>
        </w:rPr>
        <w:t xml:space="preserve">overnment’s efforts to introduce a </w:t>
      </w:r>
      <w:hyperlink r:id="rId15" w:history="1">
        <w:r w:rsidRPr="0064418C">
          <w:rPr>
            <w:rStyle w:val="Hyperlink"/>
            <w:rFonts w:cs="Arial"/>
            <w:bCs/>
          </w:rPr>
          <w:t>Stronger Nudge</w:t>
        </w:r>
      </w:hyperlink>
      <w:r w:rsidRPr="0064418C">
        <w:rPr>
          <w:rFonts w:cs="Arial"/>
          <w:bCs/>
        </w:rPr>
        <w:t xml:space="preserve"> to pensions guidance, and the actions taken by pension schemes themselves to provide access to regulated financial advice. However, further action is needed, for example by increasing promotion and support for access to Pension Wise and improving the availability and scope of the Pensions Advice Allowance.</w:t>
      </w:r>
      <w:r w:rsidRPr="0064418C">
        <w:rPr>
          <w:rFonts w:cs="Arial"/>
          <w:bCs/>
          <w:vertAlign w:val="superscript"/>
        </w:rPr>
        <w:footnoteReference w:id="1"/>
      </w:r>
    </w:p>
    <w:p w14:paraId="3FE66468" w14:textId="77777777" w:rsidR="0064418C" w:rsidRPr="0064418C" w:rsidRDefault="0064418C" w:rsidP="0064418C">
      <w:pPr>
        <w:spacing w:after="0" w:line="250" w:lineRule="exact"/>
        <w:rPr>
          <w:rFonts w:cs="Arial"/>
          <w:bCs/>
        </w:rPr>
      </w:pPr>
    </w:p>
    <w:p w14:paraId="04A6D2E9" w14:textId="77777777" w:rsidR="0064418C" w:rsidRPr="0064418C" w:rsidRDefault="0064418C" w:rsidP="0064418C">
      <w:pPr>
        <w:numPr>
          <w:ilvl w:val="0"/>
          <w:numId w:val="31"/>
        </w:numPr>
        <w:spacing w:after="0" w:line="250" w:lineRule="exact"/>
        <w:rPr>
          <w:rFonts w:cs="Arial"/>
          <w:bCs/>
        </w:rPr>
      </w:pPr>
      <w:r w:rsidRPr="0064418C">
        <w:rPr>
          <w:rFonts w:cs="Arial"/>
          <w:b/>
          <w:bCs/>
        </w:rPr>
        <w:t>Diversity and inclusion</w:t>
      </w:r>
      <w:r w:rsidRPr="0064418C">
        <w:rPr>
          <w:rFonts w:cs="Arial"/>
          <w:bCs/>
        </w:rPr>
        <w:t xml:space="preserve"> – there is evidence of a gender and social imbalance when it comes to understanding how to access pensions savings and advice. Targeted action aimed at these groups should be implemented to help redress this imbalance.</w:t>
      </w:r>
      <w:r w:rsidRPr="0064418C">
        <w:rPr>
          <w:rFonts w:cs="Arial"/>
          <w:bCs/>
          <w:i/>
          <w:iCs/>
        </w:rPr>
        <w:t xml:space="preserve"> </w:t>
      </w:r>
    </w:p>
    <w:p w14:paraId="0EF5E20E" w14:textId="77777777" w:rsidR="0064418C" w:rsidRPr="0064418C" w:rsidRDefault="0064418C" w:rsidP="0064418C">
      <w:pPr>
        <w:spacing w:after="0" w:line="250" w:lineRule="exact"/>
        <w:rPr>
          <w:rFonts w:cs="Arial"/>
          <w:bCs/>
        </w:rPr>
      </w:pPr>
    </w:p>
    <w:p w14:paraId="09EDE96A" w14:textId="09FB28A5" w:rsidR="0064418C" w:rsidRPr="0064418C" w:rsidRDefault="0064418C" w:rsidP="0064418C">
      <w:pPr>
        <w:numPr>
          <w:ilvl w:val="0"/>
          <w:numId w:val="31"/>
        </w:numPr>
        <w:spacing w:after="0" w:line="250" w:lineRule="exact"/>
        <w:rPr>
          <w:rFonts w:cs="Arial"/>
          <w:bCs/>
        </w:rPr>
      </w:pPr>
      <w:r w:rsidRPr="0064418C">
        <w:rPr>
          <w:rFonts w:cs="Arial"/>
          <w:b/>
          <w:bCs/>
        </w:rPr>
        <w:t>Consumer understanding difficulties</w:t>
      </w:r>
      <w:r w:rsidRPr="0064418C">
        <w:rPr>
          <w:rFonts w:cs="Arial"/>
          <w:bCs/>
        </w:rPr>
        <w:t xml:space="preserve"> – there is clear evidence that savers do not understand enough about their options, or pension products generally. The survey showed clear gender and social differentials, both in the type</w:t>
      </w:r>
      <w:r w:rsidR="00052A6F">
        <w:rPr>
          <w:rFonts w:cs="Arial"/>
          <w:bCs/>
        </w:rPr>
        <w:t>s</w:t>
      </w:r>
      <w:r w:rsidRPr="0064418C">
        <w:rPr>
          <w:rFonts w:cs="Arial"/>
          <w:bCs/>
        </w:rPr>
        <w:t xml:space="preserve"> of pension </w:t>
      </w:r>
      <w:r w:rsidR="00052A6F">
        <w:rPr>
          <w:rFonts w:cs="Arial"/>
          <w:bCs/>
        </w:rPr>
        <w:t xml:space="preserve">provision </w:t>
      </w:r>
      <w:r w:rsidRPr="0064418C">
        <w:rPr>
          <w:rFonts w:cs="Arial"/>
          <w:bCs/>
        </w:rPr>
        <w:t xml:space="preserve">people </w:t>
      </w:r>
      <w:r w:rsidR="00052A6F">
        <w:rPr>
          <w:rFonts w:cs="Arial"/>
          <w:bCs/>
        </w:rPr>
        <w:t xml:space="preserve">have </w:t>
      </w:r>
      <w:r w:rsidRPr="0064418C">
        <w:rPr>
          <w:rFonts w:cs="Arial"/>
          <w:bCs/>
        </w:rPr>
        <w:t xml:space="preserve">in these groups and in how important their pensions are to meeting their normal expenditure in retirement. There is also a significant lack of understanding with respect to life expectancy. Actions are needed to address financial education in the pre-retirement phase and as savers approach retirement. </w:t>
      </w:r>
    </w:p>
    <w:p w14:paraId="07202F13" w14:textId="77777777" w:rsidR="0064418C" w:rsidRPr="0064418C" w:rsidRDefault="0064418C" w:rsidP="0064418C">
      <w:pPr>
        <w:spacing w:after="0" w:line="250" w:lineRule="exact"/>
        <w:rPr>
          <w:rFonts w:cs="Arial"/>
          <w:bCs/>
        </w:rPr>
      </w:pPr>
    </w:p>
    <w:p w14:paraId="78BA9BC7" w14:textId="77777777" w:rsidR="0064418C" w:rsidRPr="0064418C" w:rsidRDefault="0064418C" w:rsidP="0064418C">
      <w:pPr>
        <w:numPr>
          <w:ilvl w:val="0"/>
          <w:numId w:val="31"/>
        </w:numPr>
        <w:spacing w:after="0" w:line="250" w:lineRule="exact"/>
        <w:rPr>
          <w:rFonts w:cs="Arial"/>
          <w:bCs/>
        </w:rPr>
      </w:pPr>
      <w:r w:rsidRPr="0064418C">
        <w:rPr>
          <w:rFonts w:cs="Arial"/>
          <w:b/>
          <w:bCs/>
        </w:rPr>
        <w:t>Limited regret</w:t>
      </w:r>
      <w:r w:rsidRPr="0064418C">
        <w:rPr>
          <w:rFonts w:cs="Arial"/>
          <w:bCs/>
        </w:rPr>
        <w:t xml:space="preserve"> – most respondents were satisfied with the decisions they had made at retirement (albeit combined with the above conclusions on education and low take-up of advice/guidance). However, this may point to a lack of consumer understanding given that our latest study demonstrated limited knowledge of pension products for a significant proportion of over 55-year-olds. </w:t>
      </w:r>
    </w:p>
    <w:p w14:paraId="193871D5" w14:textId="77777777" w:rsidR="0064418C" w:rsidRPr="00DC2989" w:rsidRDefault="0064418C" w:rsidP="0064418C">
      <w:pPr>
        <w:spacing w:after="0" w:line="250" w:lineRule="exact"/>
        <w:rPr>
          <w:rFonts w:cs="Arial"/>
          <w:bCs/>
        </w:rPr>
      </w:pPr>
    </w:p>
    <w:p w14:paraId="01F9F3CC" w14:textId="77777777" w:rsidR="009176F9" w:rsidRDefault="009176F9" w:rsidP="009176F9">
      <w:pPr>
        <w:spacing w:after="0" w:line="250" w:lineRule="exact"/>
        <w:rPr>
          <w:rFonts w:cs="Arial"/>
          <w:b/>
        </w:rPr>
      </w:pPr>
    </w:p>
    <w:p w14:paraId="097A2DBF" w14:textId="4E31921E" w:rsidR="001C66C1" w:rsidRDefault="00325817" w:rsidP="009176F9">
      <w:pPr>
        <w:spacing w:after="0" w:line="250" w:lineRule="exact"/>
        <w:rPr>
          <w:rFonts w:cs="Arial"/>
        </w:rPr>
      </w:pPr>
      <w:r>
        <w:rPr>
          <w:rFonts w:cs="Arial"/>
        </w:rPr>
        <w:t>The IFoA believes that a</w:t>
      </w:r>
      <w:r w:rsidR="001C66C1">
        <w:rPr>
          <w:rFonts w:cs="Arial"/>
        </w:rPr>
        <w:t xml:space="preserve">dvice is needed throughout people’s working lifetime, not just at or close to retirement. </w:t>
      </w:r>
    </w:p>
    <w:p w14:paraId="558E0BE9" w14:textId="77777777" w:rsidR="001C66C1" w:rsidRDefault="001C66C1" w:rsidP="009176F9">
      <w:pPr>
        <w:spacing w:after="0" w:line="250" w:lineRule="exact"/>
        <w:rPr>
          <w:rFonts w:cs="Arial"/>
        </w:rPr>
      </w:pPr>
    </w:p>
    <w:p w14:paraId="44BB9FA8" w14:textId="226B79F6" w:rsidR="001C66C1" w:rsidRPr="00D5366F" w:rsidRDefault="001C66C1" w:rsidP="009176F9">
      <w:pPr>
        <w:spacing w:after="0" w:line="250" w:lineRule="exact"/>
        <w:rPr>
          <w:rFonts w:cs="Arial"/>
          <w:i/>
          <w:iCs/>
        </w:rPr>
      </w:pPr>
      <w:r w:rsidRPr="00D5366F">
        <w:rPr>
          <w:rFonts w:cs="Arial"/>
          <w:i/>
          <w:iCs/>
        </w:rPr>
        <w:t>Savings during working lifetime</w:t>
      </w:r>
    </w:p>
    <w:p w14:paraId="10328C24" w14:textId="7E36F646" w:rsidR="001C66C1" w:rsidRDefault="001C66C1" w:rsidP="009176F9">
      <w:pPr>
        <w:spacing w:after="0" w:line="250" w:lineRule="exact"/>
        <w:rPr>
          <w:rFonts w:cs="Arial"/>
        </w:rPr>
      </w:pPr>
    </w:p>
    <w:p w14:paraId="669E2E24" w14:textId="55C70250" w:rsidR="001C66C1" w:rsidRDefault="001C66C1" w:rsidP="001C66C1">
      <w:pPr>
        <w:spacing w:after="0" w:line="250" w:lineRule="exact"/>
        <w:rPr>
          <w:rFonts w:cs="Arial"/>
        </w:rPr>
      </w:pPr>
      <w:r>
        <w:rPr>
          <w:rFonts w:cs="Arial"/>
        </w:rPr>
        <w:t>It</w:t>
      </w:r>
      <w:r w:rsidRPr="001E3653">
        <w:rPr>
          <w:rFonts w:cs="Arial"/>
        </w:rPr>
        <w:t xml:space="preserve"> is important to recognise that individuals’ decisions about pensions do not occur in a vacuum. The choice for many relying on </w:t>
      </w:r>
      <w:r>
        <w:rPr>
          <w:rFonts w:cs="Arial"/>
        </w:rPr>
        <w:t>auto-enrolment</w:t>
      </w:r>
      <w:r w:rsidRPr="001E3653">
        <w:rPr>
          <w:rFonts w:cs="Arial"/>
        </w:rPr>
        <w:t xml:space="preserve"> is not between “do I pay more into my pension or not”, but between “do I pay into my pension or save for a house deposit” or “do I pay more into my pension or meet my current household needs”. </w:t>
      </w:r>
      <w:r>
        <w:rPr>
          <w:rFonts w:cs="Arial"/>
        </w:rPr>
        <w:t xml:space="preserve">This becomes a more complicated picture when we consider life circumstances such as age, location and marital status, and other associated costs like the cost of health and social care. </w:t>
      </w:r>
    </w:p>
    <w:p w14:paraId="5D5D15E2" w14:textId="77777777" w:rsidR="001C66C1" w:rsidRDefault="001C66C1" w:rsidP="001C66C1">
      <w:pPr>
        <w:spacing w:after="0" w:line="250" w:lineRule="exact"/>
        <w:rPr>
          <w:rFonts w:cs="Arial"/>
        </w:rPr>
      </w:pPr>
    </w:p>
    <w:p w14:paraId="39A070FD" w14:textId="77777777" w:rsidR="0050431D" w:rsidRDefault="001C66C1" w:rsidP="009176F9">
      <w:pPr>
        <w:spacing w:after="0" w:line="250" w:lineRule="exact"/>
        <w:rPr>
          <w:rFonts w:cs="Arial"/>
        </w:rPr>
      </w:pPr>
      <w:r w:rsidRPr="001E3653">
        <w:rPr>
          <w:rFonts w:cs="Arial"/>
        </w:rPr>
        <w:lastRenderedPageBreak/>
        <w:t xml:space="preserve">In some respects, the question of what </w:t>
      </w:r>
      <w:r w:rsidR="00F805E1" w:rsidRPr="001E3653">
        <w:rPr>
          <w:rFonts w:cs="Arial"/>
        </w:rPr>
        <w:t>an adequate level of pension savings for retirement is</w:t>
      </w:r>
      <w:r w:rsidR="00F805E1">
        <w:rPr>
          <w:rFonts w:cs="Arial"/>
        </w:rPr>
        <w:t>,</w:t>
      </w:r>
      <w:r w:rsidRPr="001E3653">
        <w:rPr>
          <w:rFonts w:cs="Arial"/>
        </w:rPr>
        <w:t xml:space="preserve"> is interlinked with what one considers adequate wages during a working life. </w:t>
      </w:r>
      <w:r w:rsidR="00A4164A">
        <w:rPr>
          <w:rFonts w:cs="Arial"/>
        </w:rPr>
        <w:t>I</w:t>
      </w:r>
      <w:r w:rsidR="00A4164A" w:rsidRPr="001E3653">
        <w:rPr>
          <w:rFonts w:cs="Arial"/>
        </w:rPr>
        <w:t xml:space="preserve">t </w:t>
      </w:r>
      <w:r w:rsidRPr="001E3653">
        <w:rPr>
          <w:rFonts w:cs="Arial"/>
        </w:rPr>
        <w:t>is important to recognise the challenges that come with investigating each policy lever in isolation</w:t>
      </w:r>
      <w:r w:rsidR="00A4164A">
        <w:rPr>
          <w:rFonts w:cs="Arial"/>
        </w:rPr>
        <w:t>, however, a</w:t>
      </w:r>
      <w:r>
        <w:rPr>
          <w:rFonts w:cs="Arial"/>
        </w:rPr>
        <w:t>dvice and guidance which promotes a broader</w:t>
      </w:r>
      <w:r w:rsidRPr="001E3653">
        <w:rPr>
          <w:rFonts w:cs="Arial"/>
        </w:rPr>
        <w:t xml:space="preserve"> savings mentality might be </w:t>
      </w:r>
      <w:r>
        <w:rPr>
          <w:rFonts w:cs="Arial"/>
        </w:rPr>
        <w:t>very helpful for people facing these challenges</w:t>
      </w:r>
      <w:r w:rsidRPr="001E3653">
        <w:rPr>
          <w:rFonts w:cs="Arial"/>
        </w:rPr>
        <w:t xml:space="preserve"> and could still improve longer term outcomes.    </w:t>
      </w:r>
    </w:p>
    <w:p w14:paraId="0B564D19" w14:textId="77777777" w:rsidR="0061142C" w:rsidRDefault="0061142C" w:rsidP="009176F9">
      <w:pPr>
        <w:spacing w:after="0" w:line="250" w:lineRule="exact"/>
        <w:rPr>
          <w:rFonts w:cs="Arial"/>
        </w:rPr>
      </w:pPr>
    </w:p>
    <w:p w14:paraId="67C9C951" w14:textId="405B5846" w:rsidR="001A7536" w:rsidRDefault="00A4164A" w:rsidP="009176F9">
      <w:pPr>
        <w:spacing w:after="0" w:line="250" w:lineRule="exact"/>
        <w:rPr>
          <w:rFonts w:cs="Arial"/>
        </w:rPr>
      </w:pPr>
      <w:r>
        <w:rPr>
          <w:rFonts w:cs="Arial"/>
        </w:rPr>
        <w:t>The forthcoming Pensions Dashboards will pay a significant role in helping to engage the public with their pensions savings</w:t>
      </w:r>
      <w:r w:rsidR="00BB4058" w:rsidRPr="00BB4058">
        <w:rPr>
          <w:rFonts w:cs="Arial"/>
        </w:rPr>
        <w:t>, thereby supporting better planning for retirement and growing financial wel</w:t>
      </w:r>
      <w:r w:rsidR="00BB4058">
        <w:rPr>
          <w:rFonts w:cs="Arial"/>
        </w:rPr>
        <w:t>lbeing. C</w:t>
      </w:r>
      <w:r w:rsidR="00BB4058" w:rsidRPr="00BB4058">
        <w:rPr>
          <w:rFonts w:cs="Arial"/>
        </w:rPr>
        <w:t>lear and simple information about an individual’s multiple pension savings, inclu</w:t>
      </w:r>
      <w:r w:rsidR="00BB4058">
        <w:rPr>
          <w:rFonts w:cs="Arial"/>
        </w:rPr>
        <w:t>ding their State Pension, is a key component of this work. This</w:t>
      </w:r>
      <w:r w:rsidR="00BB4058" w:rsidRPr="00BB4058">
        <w:rPr>
          <w:rFonts w:cs="Arial"/>
        </w:rPr>
        <w:t xml:space="preserve"> will also help them to reconnect with any lost pension pots.</w:t>
      </w:r>
      <w:r w:rsidR="00BB4058">
        <w:rPr>
          <w:rFonts w:cs="Arial"/>
        </w:rPr>
        <w:t xml:space="preserve"> </w:t>
      </w:r>
    </w:p>
    <w:p w14:paraId="749FBC38" w14:textId="77777777" w:rsidR="0061142C" w:rsidRDefault="0061142C" w:rsidP="009176F9">
      <w:pPr>
        <w:spacing w:after="0" w:line="250" w:lineRule="exact"/>
        <w:rPr>
          <w:rFonts w:cs="Arial"/>
        </w:rPr>
      </w:pPr>
    </w:p>
    <w:p w14:paraId="5CF91023" w14:textId="08D87F7E" w:rsidR="001A7536" w:rsidRDefault="00BB4058" w:rsidP="009176F9">
      <w:pPr>
        <w:spacing w:after="0" w:line="250" w:lineRule="exact"/>
        <w:rPr>
          <w:rFonts w:cs="Arial"/>
        </w:rPr>
      </w:pPr>
      <w:r>
        <w:rPr>
          <w:rFonts w:cs="Arial"/>
        </w:rPr>
        <w:t xml:space="preserve">Giving the public a tool to understand and manage their pension is a key part of a life-long understanding that would lead to better </w:t>
      </w:r>
      <w:r w:rsidR="00494021">
        <w:rPr>
          <w:rFonts w:cs="Arial"/>
        </w:rPr>
        <w:t xml:space="preserve">savings decisions and </w:t>
      </w:r>
      <w:r>
        <w:rPr>
          <w:rFonts w:cs="Arial"/>
        </w:rPr>
        <w:t xml:space="preserve">decumulation outcomes. </w:t>
      </w:r>
    </w:p>
    <w:p w14:paraId="04B34115" w14:textId="6BD4762D" w:rsidR="001C66C1" w:rsidRDefault="001C66C1" w:rsidP="009176F9">
      <w:pPr>
        <w:spacing w:after="0" w:line="250" w:lineRule="exact"/>
        <w:rPr>
          <w:rFonts w:cs="Arial"/>
        </w:rPr>
      </w:pPr>
    </w:p>
    <w:p w14:paraId="50C69B5A" w14:textId="21923E94" w:rsidR="001C66C1" w:rsidRPr="00D5366F" w:rsidRDefault="001C66C1" w:rsidP="009176F9">
      <w:pPr>
        <w:spacing w:after="0" w:line="250" w:lineRule="exact"/>
        <w:rPr>
          <w:rFonts w:cs="Arial"/>
          <w:i/>
          <w:iCs/>
        </w:rPr>
      </w:pPr>
      <w:r w:rsidRPr="00D5366F">
        <w:rPr>
          <w:rFonts w:cs="Arial"/>
          <w:i/>
          <w:iCs/>
        </w:rPr>
        <w:t>Advice at or near retirement</w:t>
      </w:r>
    </w:p>
    <w:p w14:paraId="59ED045A" w14:textId="77777777" w:rsidR="001A7536" w:rsidRDefault="001A7536" w:rsidP="009176F9">
      <w:pPr>
        <w:spacing w:after="0" w:line="250" w:lineRule="exact"/>
        <w:rPr>
          <w:rFonts w:cs="Arial"/>
        </w:rPr>
      </w:pPr>
    </w:p>
    <w:p w14:paraId="6D0A8B02" w14:textId="5EC0F95F" w:rsidR="003222AE" w:rsidRDefault="00A40E03" w:rsidP="009176F9">
      <w:pPr>
        <w:spacing w:after="0" w:line="250" w:lineRule="exact"/>
        <w:rPr>
          <w:rFonts w:cs="Arial"/>
        </w:rPr>
      </w:pPr>
      <w:r>
        <w:rPr>
          <w:rFonts w:cs="Arial"/>
        </w:rPr>
        <w:t>The IFoA</w:t>
      </w:r>
      <w:r w:rsidR="00BB4058">
        <w:rPr>
          <w:rFonts w:cs="Arial"/>
        </w:rPr>
        <w:t xml:space="preserve"> also</w:t>
      </w:r>
      <w:r>
        <w:rPr>
          <w:rFonts w:cs="Arial"/>
        </w:rPr>
        <w:t xml:space="preserve"> believes that f</w:t>
      </w:r>
      <w:r w:rsidR="003222AE" w:rsidRPr="003222AE">
        <w:rPr>
          <w:rFonts w:cs="Arial"/>
        </w:rPr>
        <w:t>ree guidance is a valuable option for those who cannot afford advice, and evidence suggests that people who take Pension Wise guidance feel more confident and have better outcomes than those who do not</w:t>
      </w:r>
      <w:r w:rsidR="003222AE">
        <w:rPr>
          <w:rStyle w:val="FootnoteReference"/>
          <w:rFonts w:cs="Arial"/>
        </w:rPr>
        <w:footnoteReference w:id="2"/>
      </w:r>
      <w:r w:rsidR="003222AE" w:rsidRPr="003222AE">
        <w:rPr>
          <w:rFonts w:cs="Arial"/>
        </w:rPr>
        <w:t>.</w:t>
      </w:r>
      <w:r w:rsidR="003222AE">
        <w:rPr>
          <w:rFonts w:cs="Arial"/>
        </w:rPr>
        <w:t xml:space="preserve"> There is</w:t>
      </w:r>
      <w:r w:rsidR="00BD735E">
        <w:rPr>
          <w:rFonts w:cs="Arial"/>
        </w:rPr>
        <w:t>,</w:t>
      </w:r>
      <w:r>
        <w:rPr>
          <w:rFonts w:cs="Arial"/>
        </w:rPr>
        <w:t xml:space="preserve"> however</w:t>
      </w:r>
      <w:r w:rsidR="00BD735E">
        <w:rPr>
          <w:rFonts w:cs="Arial"/>
        </w:rPr>
        <w:t>,</w:t>
      </w:r>
      <w:r w:rsidR="003222AE">
        <w:rPr>
          <w:rFonts w:cs="Arial"/>
        </w:rPr>
        <w:t xml:space="preserve"> significant concern that </w:t>
      </w:r>
      <w:r>
        <w:rPr>
          <w:rFonts w:cs="Arial"/>
        </w:rPr>
        <w:t xml:space="preserve">the </w:t>
      </w:r>
      <w:r w:rsidR="00BD735E">
        <w:rPr>
          <w:rFonts w:cs="Arial"/>
        </w:rPr>
        <w:t xml:space="preserve">current </w:t>
      </w:r>
      <w:r w:rsidR="003222AE" w:rsidRPr="003222AE">
        <w:rPr>
          <w:rFonts w:cs="Arial"/>
        </w:rPr>
        <w:t>take-up of Pension Wise</w:t>
      </w:r>
      <w:r>
        <w:rPr>
          <w:rFonts w:cs="Arial"/>
        </w:rPr>
        <w:t xml:space="preserve"> is much too low. </w:t>
      </w:r>
    </w:p>
    <w:p w14:paraId="4883CAE2" w14:textId="77777777" w:rsidR="00BE64D8" w:rsidRDefault="00BE64D8" w:rsidP="009176F9">
      <w:pPr>
        <w:spacing w:after="0" w:line="250" w:lineRule="exact"/>
        <w:rPr>
          <w:rFonts w:cs="Arial"/>
        </w:rPr>
      </w:pPr>
    </w:p>
    <w:p w14:paraId="030B13F3" w14:textId="698A4FF0" w:rsidR="003222AE" w:rsidRPr="003222AE" w:rsidRDefault="00BE64D8" w:rsidP="009176F9">
      <w:pPr>
        <w:spacing w:after="0" w:line="250" w:lineRule="exact"/>
        <w:rPr>
          <w:rFonts w:cs="Arial"/>
        </w:rPr>
      </w:pPr>
      <w:r>
        <w:rPr>
          <w:rFonts w:cs="Arial"/>
        </w:rPr>
        <w:t>We recognise the recent</w:t>
      </w:r>
      <w:r w:rsidRPr="00BE64D8">
        <w:rPr>
          <w:rFonts w:eastAsia="Times New Roman" w:cs="Arial"/>
          <w:b/>
          <w:bCs/>
          <w:color w:val="auto"/>
          <w:sz w:val="22"/>
          <w:lang w:eastAsia="en-GB"/>
        </w:rPr>
        <w:t xml:space="preserve"> </w:t>
      </w:r>
      <w:r w:rsidRPr="00BE64D8">
        <w:rPr>
          <w:rFonts w:cs="Arial"/>
          <w:bCs/>
        </w:rPr>
        <w:t>Government response</w:t>
      </w:r>
      <w:r>
        <w:rPr>
          <w:rFonts w:cs="Arial"/>
          <w:bCs/>
        </w:rPr>
        <w:t xml:space="preserve"> and moves towards</w:t>
      </w:r>
      <w:r w:rsidRPr="00BE64D8">
        <w:rPr>
          <w:rFonts w:cs="Arial"/>
          <w:bCs/>
        </w:rPr>
        <w:t xml:space="preserve"> a stronger nudge</w:t>
      </w:r>
      <w:r>
        <w:rPr>
          <w:rFonts w:cs="Arial"/>
          <w:bCs/>
        </w:rPr>
        <w:t xml:space="preserve"> to pension guidance. While we </w:t>
      </w:r>
      <w:r w:rsidRPr="00BE64D8">
        <w:rPr>
          <w:rFonts w:cs="Arial"/>
          <w:bCs/>
        </w:rPr>
        <w:t>support the view that a stronger nudge is beneficial for pension</w:t>
      </w:r>
      <w:r>
        <w:rPr>
          <w:rFonts w:cs="Arial"/>
          <w:bCs/>
        </w:rPr>
        <w:t xml:space="preserve"> savers in the UK, and that p</w:t>
      </w:r>
      <w:r w:rsidRPr="00BE64D8">
        <w:rPr>
          <w:rFonts w:cs="Arial"/>
          <w:bCs/>
        </w:rPr>
        <w:t xml:space="preserve">roviding more Pension Wise </w:t>
      </w:r>
      <w:r w:rsidR="001E3653">
        <w:rPr>
          <w:rFonts w:cs="Arial"/>
          <w:bCs/>
        </w:rPr>
        <w:t>guidance</w:t>
      </w:r>
      <w:r w:rsidR="00956DFA">
        <w:rPr>
          <w:rFonts w:cs="Arial"/>
          <w:bCs/>
        </w:rPr>
        <w:t xml:space="preserve"> </w:t>
      </w:r>
      <w:r w:rsidRPr="00BE64D8">
        <w:rPr>
          <w:rFonts w:cs="Arial"/>
          <w:bCs/>
        </w:rPr>
        <w:t>sessions before retirement will help consumers to conside</w:t>
      </w:r>
      <w:r>
        <w:rPr>
          <w:rFonts w:cs="Arial"/>
          <w:bCs/>
        </w:rPr>
        <w:t>r the pros and cons of drawdown/</w:t>
      </w:r>
      <w:r w:rsidRPr="00BE64D8">
        <w:rPr>
          <w:rFonts w:cs="Arial"/>
          <w:bCs/>
        </w:rPr>
        <w:t>the opportunity to better understand which product will best meet their needs</w:t>
      </w:r>
      <w:r>
        <w:rPr>
          <w:rFonts w:cs="Arial"/>
          <w:bCs/>
        </w:rPr>
        <w:t>,</w:t>
      </w:r>
      <w:r>
        <w:rPr>
          <w:rFonts w:cs="Arial"/>
        </w:rPr>
        <w:t xml:space="preserve"> s</w:t>
      </w:r>
      <w:r w:rsidR="003222AE" w:rsidRPr="003222AE">
        <w:rPr>
          <w:rFonts w:cs="Arial"/>
        </w:rPr>
        <w:t>ome argue that this behavioural or</w:t>
      </w:r>
      <w:r>
        <w:rPr>
          <w:rFonts w:cs="Arial"/>
        </w:rPr>
        <w:t xml:space="preserve"> ‘nudge’ approach is not enough.</w:t>
      </w:r>
      <w:r w:rsidR="003222AE" w:rsidRPr="003222AE">
        <w:rPr>
          <w:rFonts w:cs="Arial"/>
        </w:rPr>
        <w:t xml:space="preserve"> Research by MaPS into the nudge approach suggests it had less effect on those who were least engaged with pensions and therefore in most need of help</w:t>
      </w:r>
      <w:r>
        <w:rPr>
          <w:rStyle w:val="FootnoteReference"/>
          <w:rFonts w:cs="Arial"/>
        </w:rPr>
        <w:footnoteReference w:id="3"/>
      </w:r>
      <w:r w:rsidR="003222AE" w:rsidRPr="003222AE">
        <w:rPr>
          <w:rFonts w:cs="Arial"/>
        </w:rPr>
        <w:t>.</w:t>
      </w:r>
    </w:p>
    <w:p w14:paraId="5B090E91" w14:textId="77777777" w:rsidR="005914E1" w:rsidRDefault="005914E1" w:rsidP="009176F9">
      <w:pPr>
        <w:spacing w:after="0" w:line="250" w:lineRule="exact"/>
        <w:rPr>
          <w:rFonts w:cs="Arial"/>
          <w:b/>
        </w:rPr>
      </w:pPr>
    </w:p>
    <w:p w14:paraId="742E70D0" w14:textId="00AD9C7C" w:rsidR="00340C80" w:rsidRDefault="00BE64D8" w:rsidP="009176F9">
      <w:pPr>
        <w:spacing w:after="0" w:line="250" w:lineRule="exact"/>
        <w:rPr>
          <w:rFonts w:cs="Arial"/>
        </w:rPr>
      </w:pPr>
      <w:r w:rsidRPr="00BE64D8">
        <w:rPr>
          <w:rFonts w:cs="Arial"/>
        </w:rPr>
        <w:t xml:space="preserve">The IFoA is of the view that providing automatic Pension Wise </w:t>
      </w:r>
      <w:r w:rsidR="001E3653">
        <w:rPr>
          <w:rFonts w:cs="Arial"/>
        </w:rPr>
        <w:t>guidance</w:t>
      </w:r>
      <w:r w:rsidRPr="00BE64D8">
        <w:rPr>
          <w:rFonts w:cs="Arial"/>
        </w:rPr>
        <w:t xml:space="preserve"> sessions before retirement would help consumers to consider the pros and cons of drawdown at that stage, so that they could later look separately at the choice of which product would best meet their needs.</w:t>
      </w:r>
    </w:p>
    <w:p w14:paraId="4A3AE165" w14:textId="77777777" w:rsidR="001E3653" w:rsidRDefault="001E3653" w:rsidP="009176F9">
      <w:pPr>
        <w:spacing w:after="0" w:line="250" w:lineRule="exact"/>
        <w:rPr>
          <w:rFonts w:cs="Arial"/>
        </w:rPr>
      </w:pPr>
    </w:p>
    <w:p w14:paraId="6313F356" w14:textId="4926172B" w:rsidR="00DE3256" w:rsidRDefault="00DE3256" w:rsidP="00DE3256">
      <w:pPr>
        <w:spacing w:after="0" w:line="250" w:lineRule="exact"/>
        <w:rPr>
          <w:rFonts w:cs="Arial"/>
          <w:b/>
        </w:rPr>
      </w:pPr>
      <w:r>
        <w:rPr>
          <w:rFonts w:cs="Arial"/>
          <w:b/>
        </w:rPr>
        <w:t>Member communications and engagement</w:t>
      </w:r>
    </w:p>
    <w:p w14:paraId="39525882" w14:textId="271A4E44" w:rsidR="00DE3256" w:rsidRDefault="00DE3256" w:rsidP="00DE3256">
      <w:pPr>
        <w:spacing w:after="0" w:line="250" w:lineRule="exact"/>
        <w:rPr>
          <w:rFonts w:cs="Arial"/>
          <w:b/>
        </w:rPr>
      </w:pPr>
    </w:p>
    <w:p w14:paraId="76C1D9B0" w14:textId="5E4D3DCF" w:rsidR="000052EB" w:rsidRPr="000052EB" w:rsidRDefault="000052EB" w:rsidP="000052EB">
      <w:pPr>
        <w:spacing w:after="0" w:line="250" w:lineRule="exact"/>
        <w:rPr>
          <w:rFonts w:cs="Arial"/>
          <w:bCs/>
        </w:rPr>
      </w:pPr>
      <w:r w:rsidRPr="000052EB">
        <w:rPr>
          <w:rFonts w:cs="Arial"/>
          <w:bCs/>
        </w:rPr>
        <w:t xml:space="preserve">Retirement is not a discrete 'event' for many individuals, with 2019 data from the Office for National Statistics showing that around </w:t>
      </w:r>
      <w:r w:rsidR="00A4164A">
        <w:rPr>
          <w:rFonts w:cs="Arial"/>
          <w:bCs/>
        </w:rPr>
        <w:t>half a million</w:t>
      </w:r>
      <w:r w:rsidRPr="000052EB">
        <w:rPr>
          <w:rFonts w:cs="Arial"/>
          <w:bCs/>
        </w:rPr>
        <w:t xml:space="preserve"> people over the age of 70 remain in part time or full-time employment in the UK. Therefore, the consumer journey needs to recognise a phased line between 'approaching retirement' and 'accessing pension'. </w:t>
      </w:r>
    </w:p>
    <w:p w14:paraId="05C92748" w14:textId="77777777" w:rsidR="000052EB" w:rsidRPr="000052EB" w:rsidRDefault="000052EB" w:rsidP="000052EB">
      <w:pPr>
        <w:spacing w:after="0" w:line="250" w:lineRule="exact"/>
        <w:rPr>
          <w:rFonts w:cs="Arial"/>
          <w:bCs/>
        </w:rPr>
      </w:pPr>
    </w:p>
    <w:p w14:paraId="5C2C4FB8" w14:textId="77777777" w:rsidR="000052EB" w:rsidRDefault="000052EB" w:rsidP="000052EB">
      <w:pPr>
        <w:spacing w:after="0" w:line="250" w:lineRule="exact"/>
        <w:rPr>
          <w:rFonts w:cs="Arial"/>
          <w:bCs/>
        </w:rPr>
      </w:pPr>
      <w:r w:rsidRPr="000052EB">
        <w:rPr>
          <w:rFonts w:cs="Arial"/>
          <w:bCs/>
        </w:rPr>
        <w:t xml:space="preserve">Pension schemes typically communicate with their members around six months before 'Normal Retirement Date' (DB schemes) or 'Preferred Retirement Date' (DC schemes). A more effective strategy would be to communicate with members around 5 years before these dates, to encourage better planning and in recognition of an increasingly phased approach to retirement. </w:t>
      </w:r>
    </w:p>
    <w:p w14:paraId="7E2697D0" w14:textId="77777777" w:rsidR="000052EB" w:rsidRDefault="000052EB" w:rsidP="000052EB">
      <w:pPr>
        <w:spacing w:after="0" w:line="250" w:lineRule="exact"/>
        <w:rPr>
          <w:rFonts w:cs="Arial"/>
          <w:bCs/>
        </w:rPr>
      </w:pPr>
    </w:p>
    <w:p w14:paraId="10F4AFD4" w14:textId="16AE8800" w:rsidR="000052EB" w:rsidRPr="000052EB" w:rsidRDefault="000052EB" w:rsidP="000052EB">
      <w:pPr>
        <w:spacing w:after="0" w:line="250" w:lineRule="exact"/>
        <w:rPr>
          <w:rFonts w:cs="Arial"/>
          <w:bCs/>
        </w:rPr>
      </w:pPr>
      <w:r>
        <w:rPr>
          <w:rFonts w:cs="Arial"/>
          <w:bCs/>
        </w:rPr>
        <w:t xml:space="preserve">The IFoA has identified </w:t>
      </w:r>
      <w:r w:rsidR="008C7673">
        <w:rPr>
          <w:rFonts w:cs="Arial"/>
          <w:bCs/>
        </w:rPr>
        <w:t>several</w:t>
      </w:r>
      <w:r>
        <w:rPr>
          <w:rFonts w:cs="Arial"/>
          <w:bCs/>
        </w:rPr>
        <w:t xml:space="preserve"> barriers to engagement with members that we feel are relevant to this Call for Evidence</w:t>
      </w:r>
      <w:r w:rsidR="00A4164A">
        <w:rPr>
          <w:rFonts w:cs="Arial"/>
          <w:bCs/>
        </w:rPr>
        <w:t>:</w:t>
      </w:r>
      <w:r>
        <w:rPr>
          <w:rFonts w:cs="Arial"/>
          <w:bCs/>
        </w:rPr>
        <w:t xml:space="preserve"> </w:t>
      </w:r>
    </w:p>
    <w:p w14:paraId="7389A68F" w14:textId="77777777" w:rsidR="00DE3256" w:rsidRPr="00DE3256" w:rsidRDefault="00DE3256" w:rsidP="00DE3256">
      <w:pPr>
        <w:spacing w:after="0" w:line="250" w:lineRule="exact"/>
        <w:rPr>
          <w:rFonts w:cs="Arial"/>
          <w:bCs/>
        </w:rPr>
      </w:pPr>
    </w:p>
    <w:p w14:paraId="3E078C85" w14:textId="77777777" w:rsidR="000052EB" w:rsidRPr="000052EB" w:rsidRDefault="00DE3256" w:rsidP="000052EB">
      <w:pPr>
        <w:spacing w:after="0" w:line="250" w:lineRule="exact"/>
        <w:rPr>
          <w:rFonts w:cs="Arial"/>
          <w:bCs/>
        </w:rPr>
      </w:pPr>
      <w:r w:rsidRPr="000052EB">
        <w:rPr>
          <w:rFonts w:cs="Arial"/>
          <w:b/>
        </w:rPr>
        <w:t>Losing track of pensions</w:t>
      </w:r>
      <w:r w:rsidRPr="000052EB">
        <w:rPr>
          <w:rFonts w:cs="Arial"/>
          <w:bCs/>
        </w:rPr>
        <w:t xml:space="preserve"> - individuals struggle to know how to move their pensions from past employers and often lose contact with them. </w:t>
      </w:r>
    </w:p>
    <w:p w14:paraId="330CE5AF" w14:textId="77777777" w:rsidR="000052EB" w:rsidRDefault="000052EB" w:rsidP="000052EB">
      <w:pPr>
        <w:spacing w:after="0" w:line="250" w:lineRule="exact"/>
        <w:rPr>
          <w:rFonts w:cs="Arial"/>
          <w:bCs/>
        </w:rPr>
      </w:pPr>
    </w:p>
    <w:p w14:paraId="3A7F661C" w14:textId="2F049A12" w:rsidR="000052EB" w:rsidRDefault="00DE3256" w:rsidP="0061142C">
      <w:pPr>
        <w:spacing w:after="0" w:line="250" w:lineRule="exact"/>
        <w:rPr>
          <w:rFonts w:cs="Arial"/>
          <w:bCs/>
        </w:rPr>
      </w:pPr>
      <w:r w:rsidRPr="000052EB">
        <w:rPr>
          <w:rFonts w:cs="Arial"/>
          <w:bCs/>
        </w:rPr>
        <w:t>The specific barriers tend to be:</w:t>
      </w:r>
    </w:p>
    <w:p w14:paraId="422B45B1" w14:textId="46B30F8C" w:rsidR="00DE3256" w:rsidRPr="00DE3256" w:rsidRDefault="00DE3256" w:rsidP="00DE3256">
      <w:pPr>
        <w:numPr>
          <w:ilvl w:val="0"/>
          <w:numId w:val="33"/>
        </w:numPr>
        <w:spacing w:after="0" w:line="250" w:lineRule="exact"/>
        <w:rPr>
          <w:rFonts w:cs="Arial"/>
          <w:bCs/>
        </w:rPr>
      </w:pPr>
      <w:r w:rsidRPr="00DE3256">
        <w:rPr>
          <w:rFonts w:cs="Arial"/>
          <w:bCs/>
        </w:rPr>
        <w:lastRenderedPageBreak/>
        <w:t xml:space="preserve">Not knowing where to find details of or contact details for past pension </w:t>
      </w:r>
      <w:r w:rsidR="008C7673" w:rsidRPr="00DE3256">
        <w:rPr>
          <w:rFonts w:cs="Arial"/>
          <w:bCs/>
        </w:rPr>
        <w:t>schemes.</w:t>
      </w:r>
    </w:p>
    <w:p w14:paraId="111D7BB6" w14:textId="60431ED4" w:rsidR="00DE3256" w:rsidRPr="00DE3256" w:rsidRDefault="00DE3256" w:rsidP="00DE3256">
      <w:pPr>
        <w:numPr>
          <w:ilvl w:val="0"/>
          <w:numId w:val="33"/>
        </w:numPr>
        <w:spacing w:after="0" w:line="250" w:lineRule="exact"/>
        <w:rPr>
          <w:rFonts w:cs="Arial"/>
          <w:bCs/>
        </w:rPr>
      </w:pPr>
      <w:r w:rsidRPr="00DE3256">
        <w:rPr>
          <w:rFonts w:cs="Arial"/>
          <w:bCs/>
        </w:rPr>
        <w:t xml:space="preserve">Not knowing the process to follow </w:t>
      </w:r>
      <w:r w:rsidR="008C7673" w:rsidRPr="00DE3256">
        <w:rPr>
          <w:rFonts w:cs="Arial"/>
          <w:bCs/>
        </w:rPr>
        <w:t>to</w:t>
      </w:r>
      <w:r w:rsidRPr="00DE3256">
        <w:rPr>
          <w:rFonts w:cs="Arial"/>
          <w:bCs/>
        </w:rPr>
        <w:t xml:space="preserve"> move </w:t>
      </w:r>
      <w:r w:rsidR="000052EB" w:rsidRPr="00DE3256">
        <w:rPr>
          <w:rFonts w:cs="Arial"/>
          <w:bCs/>
        </w:rPr>
        <w:t>pensions.</w:t>
      </w:r>
    </w:p>
    <w:p w14:paraId="0C883986" w14:textId="13861563" w:rsidR="000052EB" w:rsidRDefault="00DE3256" w:rsidP="000052EB">
      <w:pPr>
        <w:numPr>
          <w:ilvl w:val="0"/>
          <w:numId w:val="33"/>
        </w:numPr>
        <w:spacing w:after="0" w:line="250" w:lineRule="exact"/>
        <w:rPr>
          <w:rFonts w:cs="Arial"/>
          <w:bCs/>
        </w:rPr>
      </w:pPr>
      <w:r w:rsidRPr="00DE3256">
        <w:rPr>
          <w:rFonts w:cs="Arial"/>
          <w:bCs/>
        </w:rPr>
        <w:t xml:space="preserve">Slow administrative processes meaning that it can take several months </w:t>
      </w:r>
      <w:r w:rsidR="000052EB" w:rsidRPr="00DE3256">
        <w:rPr>
          <w:rFonts w:cs="Arial"/>
          <w:bCs/>
        </w:rPr>
        <w:t>to</w:t>
      </w:r>
      <w:r w:rsidRPr="00DE3256">
        <w:rPr>
          <w:rFonts w:cs="Arial"/>
          <w:bCs/>
        </w:rPr>
        <w:t xml:space="preserve"> move pensions.</w:t>
      </w:r>
      <w:r w:rsidR="00A4164A">
        <w:rPr>
          <w:rFonts w:cs="Arial"/>
          <w:bCs/>
        </w:rPr>
        <w:br/>
      </w:r>
    </w:p>
    <w:p w14:paraId="46EE3416" w14:textId="56801D65" w:rsidR="000052EB" w:rsidRPr="00DE3256" w:rsidRDefault="00DE3256" w:rsidP="000052EB">
      <w:pPr>
        <w:spacing w:after="0" w:line="250" w:lineRule="exact"/>
        <w:rPr>
          <w:rFonts w:cs="Arial"/>
          <w:bCs/>
        </w:rPr>
      </w:pPr>
      <w:r w:rsidRPr="00DE3256">
        <w:rPr>
          <w:rFonts w:cs="Arial"/>
          <w:b/>
        </w:rPr>
        <w:t>The Government's 'pot follows member' initiative</w:t>
      </w:r>
      <w:r w:rsidRPr="00DE3256">
        <w:rPr>
          <w:rFonts w:cs="Arial"/>
          <w:bCs/>
        </w:rPr>
        <w:t xml:space="preserve"> was a potential solution to the growing number of small unclaimed pension pots. However, we recognise one potential drawback being that individuals could automatically be transferred into a less suitable vehicle with, for example, higher costs or leading to the loss of guarantees. Therefore, potential solutions to this barrier include:</w:t>
      </w:r>
    </w:p>
    <w:p w14:paraId="237DF65E" w14:textId="0DC84F6E" w:rsidR="00DE3256" w:rsidRPr="00DE3256" w:rsidRDefault="00DE3256" w:rsidP="00DE3256">
      <w:pPr>
        <w:numPr>
          <w:ilvl w:val="0"/>
          <w:numId w:val="33"/>
        </w:numPr>
        <w:spacing w:after="0" w:line="250" w:lineRule="exact"/>
        <w:rPr>
          <w:rFonts w:cs="Arial"/>
          <w:bCs/>
        </w:rPr>
      </w:pPr>
      <w:r w:rsidRPr="00DE3256">
        <w:rPr>
          <w:rFonts w:cs="Arial"/>
          <w:bCs/>
        </w:rPr>
        <w:t xml:space="preserve">Communications with individuals at the point they change jobs to prompt a potential </w:t>
      </w:r>
      <w:r w:rsidR="004B6C3B" w:rsidRPr="00DE3256">
        <w:rPr>
          <w:rFonts w:cs="Arial"/>
          <w:bCs/>
        </w:rPr>
        <w:t>action.</w:t>
      </w:r>
    </w:p>
    <w:p w14:paraId="3261436C" w14:textId="2FDBD794" w:rsidR="00DE3256" w:rsidRPr="00DE3256" w:rsidRDefault="00DE3256" w:rsidP="00DE3256">
      <w:pPr>
        <w:numPr>
          <w:ilvl w:val="0"/>
          <w:numId w:val="33"/>
        </w:numPr>
        <w:spacing w:after="0" w:line="250" w:lineRule="exact"/>
        <w:rPr>
          <w:rFonts w:cs="Arial"/>
          <w:bCs/>
        </w:rPr>
      </w:pPr>
      <w:r w:rsidRPr="00DE3256">
        <w:rPr>
          <w:rFonts w:cs="Arial"/>
          <w:bCs/>
        </w:rPr>
        <w:t xml:space="preserve">Clear and easy to follow processes for transferring pensions to their new employer’s pension arrangements (or elsewhere), including signposting of appropriate pensions guidance such as Pensions </w:t>
      </w:r>
      <w:r w:rsidR="000052EB" w:rsidRPr="00DE3256">
        <w:rPr>
          <w:rFonts w:cs="Arial"/>
          <w:bCs/>
        </w:rPr>
        <w:t>Wise.</w:t>
      </w:r>
    </w:p>
    <w:p w14:paraId="586466D1" w14:textId="77777777" w:rsidR="00DE3256" w:rsidRPr="00DE3256" w:rsidRDefault="00DE3256" w:rsidP="00DE3256">
      <w:pPr>
        <w:numPr>
          <w:ilvl w:val="0"/>
          <w:numId w:val="33"/>
        </w:numPr>
        <w:spacing w:after="0" w:line="250" w:lineRule="exact"/>
        <w:rPr>
          <w:rFonts w:cs="Arial"/>
          <w:bCs/>
        </w:rPr>
      </w:pPr>
      <w:r w:rsidRPr="00DE3256">
        <w:rPr>
          <w:rFonts w:cs="Arial"/>
          <w:bCs/>
        </w:rPr>
        <w:t>Tighter industry standards for the timescales associated with pensions transfers, building on the work already carried out by the Pensions Administration Standards Association (PASA).</w:t>
      </w:r>
    </w:p>
    <w:p w14:paraId="1EC93EF0" w14:textId="77777777" w:rsidR="00DE3256" w:rsidRPr="00DE3256" w:rsidRDefault="00DE3256" w:rsidP="00DE3256">
      <w:pPr>
        <w:spacing w:after="0" w:line="250" w:lineRule="exact"/>
        <w:rPr>
          <w:rFonts w:cs="Arial"/>
          <w:bCs/>
        </w:rPr>
      </w:pPr>
    </w:p>
    <w:p w14:paraId="29803CF4" w14:textId="5E762D7B" w:rsidR="00DE3256" w:rsidRPr="000052EB" w:rsidRDefault="00DE3256" w:rsidP="000052EB">
      <w:pPr>
        <w:spacing w:after="0" w:line="250" w:lineRule="exact"/>
        <w:rPr>
          <w:rFonts w:cs="Arial"/>
          <w:bCs/>
        </w:rPr>
      </w:pPr>
      <w:r w:rsidRPr="000052EB">
        <w:rPr>
          <w:rFonts w:cs="Arial"/>
          <w:b/>
        </w:rPr>
        <w:t>Digital poverty</w:t>
      </w:r>
      <w:r w:rsidRPr="000052EB">
        <w:rPr>
          <w:rFonts w:cs="Arial"/>
          <w:bCs/>
        </w:rPr>
        <w:t xml:space="preserve"> – although the pensions industry is less technologically developed than some other industries, the risk remains that some members struggle to engage in an increasingly digital world and so any initiatives developed by the Government to improve engagement should not lose sight of the 'digitally excluded'. </w:t>
      </w:r>
    </w:p>
    <w:p w14:paraId="37AF2639" w14:textId="77777777" w:rsidR="00DE3256" w:rsidRPr="00DE3256" w:rsidRDefault="00DE3256" w:rsidP="00DE3256">
      <w:pPr>
        <w:spacing w:after="0" w:line="250" w:lineRule="exact"/>
        <w:rPr>
          <w:rFonts w:cs="Arial"/>
          <w:bCs/>
        </w:rPr>
      </w:pPr>
    </w:p>
    <w:p w14:paraId="555A1A6B" w14:textId="3BA44C55" w:rsidR="00DE3256" w:rsidRPr="00DE3256" w:rsidRDefault="000052EB" w:rsidP="00DE3256">
      <w:pPr>
        <w:spacing w:after="0" w:line="250" w:lineRule="exact"/>
        <w:rPr>
          <w:rFonts w:cs="Arial"/>
          <w:bCs/>
        </w:rPr>
      </w:pPr>
      <w:r>
        <w:rPr>
          <w:rFonts w:cs="Arial"/>
          <w:bCs/>
        </w:rPr>
        <w:t>The IFoA believes that</w:t>
      </w:r>
      <w:r w:rsidR="00DE3256" w:rsidRPr="00DE3256">
        <w:rPr>
          <w:rFonts w:cs="Arial"/>
          <w:bCs/>
        </w:rPr>
        <w:t xml:space="preserve"> there is merit in a service that helps guide members through the various forms that need to be completed as part of a retirement journey and suggest that this is a service that would be usefully provided by the M</w:t>
      </w:r>
      <w:r w:rsidR="0050431D">
        <w:rPr>
          <w:rFonts w:cs="Arial"/>
          <w:bCs/>
        </w:rPr>
        <w:t>aPS.</w:t>
      </w:r>
      <w:r w:rsidR="00DE3256" w:rsidRPr="00DE3256">
        <w:rPr>
          <w:rFonts w:cs="Arial"/>
          <w:bCs/>
        </w:rPr>
        <w:t xml:space="preserve"> </w:t>
      </w:r>
    </w:p>
    <w:p w14:paraId="7CB4602C" w14:textId="77777777" w:rsidR="00DE3256" w:rsidRPr="00DE3256" w:rsidRDefault="00DE3256" w:rsidP="00DE3256">
      <w:pPr>
        <w:spacing w:after="0" w:line="250" w:lineRule="exact"/>
        <w:rPr>
          <w:rFonts w:cs="Arial"/>
          <w:bCs/>
        </w:rPr>
      </w:pPr>
    </w:p>
    <w:p w14:paraId="2EDA6801" w14:textId="23ABE06E" w:rsidR="00DE3256" w:rsidRPr="00DE3256" w:rsidRDefault="00DE3256" w:rsidP="000052EB">
      <w:pPr>
        <w:spacing w:after="0" w:line="250" w:lineRule="exact"/>
        <w:rPr>
          <w:rFonts w:cs="Arial"/>
          <w:bCs/>
        </w:rPr>
      </w:pPr>
      <w:r w:rsidRPr="00DE3256">
        <w:rPr>
          <w:rFonts w:cs="Arial"/>
          <w:b/>
        </w:rPr>
        <w:t>Lack of financial education</w:t>
      </w:r>
      <w:r w:rsidRPr="00DE3256">
        <w:rPr>
          <w:rFonts w:cs="Arial"/>
          <w:bCs/>
        </w:rPr>
        <w:t xml:space="preserve"> </w:t>
      </w:r>
      <w:r w:rsidR="002F3DE6">
        <w:rPr>
          <w:rFonts w:cs="Arial"/>
          <w:bCs/>
        </w:rPr>
        <w:t>–</w:t>
      </w:r>
      <w:r w:rsidRPr="00DE3256">
        <w:rPr>
          <w:rFonts w:cs="Arial"/>
          <w:bCs/>
        </w:rPr>
        <w:t xml:space="preserve"> a wider issue which leads to lack of engagement in pensions is lack of understanding of financial matters more generally. </w:t>
      </w:r>
    </w:p>
    <w:p w14:paraId="0BD4B71F" w14:textId="77777777" w:rsidR="00DE3256" w:rsidRPr="00DE3256" w:rsidRDefault="00DE3256" w:rsidP="00DE3256">
      <w:pPr>
        <w:spacing w:after="0" w:line="250" w:lineRule="exact"/>
        <w:rPr>
          <w:rFonts w:cs="Arial"/>
          <w:bCs/>
        </w:rPr>
      </w:pPr>
    </w:p>
    <w:p w14:paraId="33080695" w14:textId="26091A49" w:rsidR="000052EB" w:rsidRDefault="00DE3256" w:rsidP="00DE3256">
      <w:pPr>
        <w:spacing w:after="0" w:line="250" w:lineRule="exact"/>
        <w:rPr>
          <w:rFonts w:cs="Arial"/>
          <w:bCs/>
        </w:rPr>
      </w:pPr>
      <w:r w:rsidRPr="00DE3256">
        <w:rPr>
          <w:rFonts w:cs="Arial"/>
          <w:bCs/>
        </w:rPr>
        <w:t>Possible improvements to this area would include:</w:t>
      </w:r>
    </w:p>
    <w:p w14:paraId="464237B7" w14:textId="77777777" w:rsidR="000052EB" w:rsidRPr="00DE3256" w:rsidRDefault="000052EB" w:rsidP="00DE3256">
      <w:pPr>
        <w:spacing w:after="0" w:line="250" w:lineRule="exact"/>
        <w:rPr>
          <w:rFonts w:cs="Arial"/>
          <w:bCs/>
        </w:rPr>
      </w:pPr>
    </w:p>
    <w:p w14:paraId="63C9D2A1" w14:textId="129EDFDB" w:rsidR="00DE3256" w:rsidRPr="00E12865" w:rsidRDefault="00DE3256" w:rsidP="00E12865">
      <w:pPr>
        <w:pStyle w:val="ListParagraph"/>
        <w:numPr>
          <w:ilvl w:val="0"/>
          <w:numId w:val="34"/>
        </w:numPr>
        <w:spacing w:after="0" w:line="250" w:lineRule="exact"/>
        <w:rPr>
          <w:rFonts w:cs="Arial"/>
          <w:bCs/>
        </w:rPr>
      </w:pPr>
      <w:r w:rsidRPr="00E12865">
        <w:rPr>
          <w:rFonts w:cs="Arial"/>
          <w:bCs/>
        </w:rPr>
        <w:t xml:space="preserve">Building on the initiatives started by the Personal Finance Society </w:t>
      </w:r>
      <w:r w:rsidR="002F3DE6">
        <w:rPr>
          <w:rFonts w:cs="Arial"/>
          <w:bCs/>
        </w:rPr>
        <w:t xml:space="preserve">and others </w:t>
      </w:r>
      <w:r w:rsidRPr="00E12865">
        <w:rPr>
          <w:rFonts w:cs="Arial"/>
          <w:bCs/>
        </w:rPr>
        <w:t xml:space="preserve">to improve financial education in schools. Currently this is volunteer-led and not compulsory and some further structure around this would be </w:t>
      </w:r>
      <w:r w:rsidR="000052EB" w:rsidRPr="00E12865">
        <w:rPr>
          <w:rFonts w:cs="Arial"/>
          <w:bCs/>
        </w:rPr>
        <w:t>beneficial.</w:t>
      </w:r>
    </w:p>
    <w:p w14:paraId="50A25676" w14:textId="77777777" w:rsidR="00DE3256" w:rsidRPr="00DE3256" w:rsidRDefault="00DE3256" w:rsidP="00DE3256">
      <w:pPr>
        <w:numPr>
          <w:ilvl w:val="0"/>
          <w:numId w:val="34"/>
        </w:numPr>
        <w:spacing w:after="0" w:line="250" w:lineRule="exact"/>
        <w:rPr>
          <w:rFonts w:cs="Arial"/>
          <w:bCs/>
        </w:rPr>
      </w:pPr>
      <w:r w:rsidRPr="00DE3256">
        <w:rPr>
          <w:rFonts w:cs="Arial"/>
          <w:bCs/>
        </w:rPr>
        <w:t xml:space="preserve">When an employer takes on new employees (of any age) they could be directed to TPR/FCA approved information on financial planning matters. This could include information provided alongside joining the workplace pension. </w:t>
      </w:r>
    </w:p>
    <w:p w14:paraId="373954C7" w14:textId="2D763A79" w:rsidR="00DE3256" w:rsidRDefault="00DE3256" w:rsidP="00DE3256">
      <w:pPr>
        <w:spacing w:after="0" w:line="250" w:lineRule="exact"/>
        <w:rPr>
          <w:rFonts w:cs="Arial"/>
          <w:b/>
        </w:rPr>
      </w:pPr>
    </w:p>
    <w:p w14:paraId="0A029A36" w14:textId="1A6BCDB6" w:rsidR="008C7673" w:rsidRPr="008C7673" w:rsidRDefault="008C7673" w:rsidP="008C7673">
      <w:pPr>
        <w:spacing w:after="0" w:line="250" w:lineRule="exact"/>
        <w:rPr>
          <w:rFonts w:cs="Arial"/>
          <w:bCs/>
        </w:rPr>
      </w:pPr>
      <w:r>
        <w:rPr>
          <w:rFonts w:cs="Arial"/>
          <w:bCs/>
        </w:rPr>
        <w:t xml:space="preserve">The IFoA believes that communications to members should be more targeted to achieve better outcomes. </w:t>
      </w:r>
      <w:r w:rsidRPr="008C7673">
        <w:rPr>
          <w:rFonts w:cs="Arial"/>
          <w:bCs/>
        </w:rPr>
        <w:t>Aon in the US carried out research showing that communications that were tailored to a member's personality type improved renewal rates in flexible benefit plans by 15%</w:t>
      </w:r>
      <w:r w:rsidR="00FE7051">
        <w:rPr>
          <w:rStyle w:val="FootnoteReference"/>
          <w:rFonts w:cs="Arial"/>
          <w:bCs/>
        </w:rPr>
        <w:footnoteReference w:id="4"/>
      </w:r>
      <w:r w:rsidRPr="008C7673">
        <w:rPr>
          <w:rFonts w:cs="Arial"/>
          <w:bCs/>
        </w:rPr>
        <w:t>. However, we believe</w:t>
      </w:r>
      <w:r>
        <w:rPr>
          <w:rFonts w:cs="Arial"/>
          <w:bCs/>
        </w:rPr>
        <w:t xml:space="preserve"> </w:t>
      </w:r>
      <w:r w:rsidRPr="008C7673">
        <w:rPr>
          <w:rFonts w:cs="Arial"/>
          <w:bCs/>
        </w:rPr>
        <w:t xml:space="preserve">communications with this level of tailoring would only be practical for the largest pension schemes. </w:t>
      </w:r>
    </w:p>
    <w:p w14:paraId="20E2D260" w14:textId="77777777" w:rsidR="008C7673" w:rsidRPr="008C7673" w:rsidRDefault="008C7673" w:rsidP="008C7673">
      <w:pPr>
        <w:spacing w:after="0" w:line="250" w:lineRule="exact"/>
        <w:rPr>
          <w:rFonts w:cs="Arial"/>
          <w:bCs/>
        </w:rPr>
      </w:pPr>
    </w:p>
    <w:p w14:paraId="38AD6EAA" w14:textId="63DB4BA6" w:rsidR="008C7673" w:rsidRDefault="008C7673" w:rsidP="008C7673">
      <w:pPr>
        <w:spacing w:after="0" w:line="250" w:lineRule="exact"/>
        <w:rPr>
          <w:rFonts w:cs="Arial"/>
          <w:bCs/>
        </w:rPr>
      </w:pPr>
      <w:r w:rsidRPr="008C7673">
        <w:rPr>
          <w:rFonts w:cs="Arial"/>
          <w:bCs/>
        </w:rPr>
        <w:t>To improve engagement across all sizes of scheme</w:t>
      </w:r>
      <w:r>
        <w:rPr>
          <w:rFonts w:cs="Arial"/>
          <w:bCs/>
        </w:rPr>
        <w:t>,</w:t>
      </w:r>
      <w:r w:rsidRPr="008C7673">
        <w:rPr>
          <w:rFonts w:cs="Arial"/>
          <w:bCs/>
        </w:rPr>
        <w:t xml:space="preserve"> research </w:t>
      </w:r>
      <w:r>
        <w:rPr>
          <w:rFonts w:cs="Arial"/>
          <w:bCs/>
        </w:rPr>
        <w:t>accompanied by</w:t>
      </w:r>
      <w:r w:rsidRPr="008C7673">
        <w:rPr>
          <w:rFonts w:cs="Arial"/>
          <w:bCs/>
        </w:rPr>
        <w:t xml:space="preserve"> industry 'best practice' guidance </w:t>
      </w:r>
      <w:r>
        <w:rPr>
          <w:rFonts w:cs="Arial"/>
          <w:bCs/>
        </w:rPr>
        <w:t>would help to</w:t>
      </w:r>
      <w:r w:rsidRPr="008C7673">
        <w:rPr>
          <w:rFonts w:cs="Arial"/>
          <w:bCs/>
        </w:rPr>
        <w:t xml:space="preserve"> achiev</w:t>
      </w:r>
      <w:r>
        <w:rPr>
          <w:rFonts w:cs="Arial"/>
          <w:bCs/>
        </w:rPr>
        <w:t>e</w:t>
      </w:r>
      <w:r w:rsidRPr="008C7673">
        <w:rPr>
          <w:rFonts w:cs="Arial"/>
          <w:bCs/>
        </w:rPr>
        <w:t xml:space="preserve"> impactful</w:t>
      </w:r>
      <w:r>
        <w:rPr>
          <w:rFonts w:cs="Arial"/>
          <w:bCs/>
        </w:rPr>
        <w:t xml:space="preserve"> member</w:t>
      </w:r>
      <w:r w:rsidRPr="008C7673">
        <w:rPr>
          <w:rFonts w:cs="Arial"/>
          <w:bCs/>
        </w:rPr>
        <w:t xml:space="preserve"> communications. This may include:</w:t>
      </w:r>
    </w:p>
    <w:p w14:paraId="6EF207AD" w14:textId="77777777" w:rsidR="00E12865" w:rsidRPr="008C7673" w:rsidRDefault="00E12865" w:rsidP="008C7673">
      <w:pPr>
        <w:spacing w:after="0" w:line="250" w:lineRule="exact"/>
        <w:rPr>
          <w:rFonts w:cs="Arial"/>
          <w:bCs/>
        </w:rPr>
      </w:pPr>
    </w:p>
    <w:p w14:paraId="707B35AA" w14:textId="2503E608" w:rsidR="008C7673" w:rsidRPr="008C7673" w:rsidRDefault="008C7673" w:rsidP="008C7673">
      <w:pPr>
        <w:numPr>
          <w:ilvl w:val="0"/>
          <w:numId w:val="33"/>
        </w:numPr>
        <w:spacing w:after="0" w:line="250" w:lineRule="exact"/>
        <w:rPr>
          <w:rFonts w:cs="Arial"/>
          <w:bCs/>
        </w:rPr>
      </w:pPr>
      <w:r w:rsidRPr="008C7673">
        <w:rPr>
          <w:rFonts w:cs="Arial"/>
          <w:bCs/>
        </w:rPr>
        <w:t xml:space="preserve">Impactful triggers for communications to increase contributions into a DC scheme </w:t>
      </w:r>
      <w:r w:rsidRPr="008C7673">
        <w:rPr>
          <w:rFonts w:cs="Arial"/>
          <w:bCs/>
        </w:rPr>
        <w:noBreakHyphen/>
        <w:t xml:space="preserve"> for example, on birthdays.</w:t>
      </w:r>
    </w:p>
    <w:p w14:paraId="41C6A6A8" w14:textId="0D2642E0" w:rsidR="008C7673" w:rsidRPr="008C7673" w:rsidRDefault="008C7673" w:rsidP="008C7673">
      <w:pPr>
        <w:numPr>
          <w:ilvl w:val="0"/>
          <w:numId w:val="33"/>
        </w:numPr>
        <w:spacing w:after="0" w:line="250" w:lineRule="exact"/>
        <w:rPr>
          <w:rFonts w:cs="Arial"/>
          <w:bCs/>
        </w:rPr>
      </w:pPr>
      <w:r w:rsidRPr="008C7673">
        <w:rPr>
          <w:rFonts w:cs="Arial"/>
          <w:bCs/>
        </w:rPr>
        <w:t>Best practice for different types of workforces, such as by industry or 'blue collar' and 'white collar' workforces.</w:t>
      </w:r>
    </w:p>
    <w:p w14:paraId="7CF44415" w14:textId="331C5945" w:rsidR="008C7673" w:rsidRPr="008C7673" w:rsidRDefault="008C7673" w:rsidP="008C7673">
      <w:pPr>
        <w:numPr>
          <w:ilvl w:val="0"/>
          <w:numId w:val="33"/>
        </w:numPr>
        <w:spacing w:after="0" w:line="250" w:lineRule="exact"/>
        <w:rPr>
          <w:rFonts w:cs="Arial"/>
          <w:bCs/>
        </w:rPr>
      </w:pPr>
      <w:r w:rsidRPr="008C7673">
        <w:rPr>
          <w:rFonts w:cs="Arial"/>
          <w:bCs/>
        </w:rPr>
        <w:t>Best practice for different generational group</w:t>
      </w:r>
      <w:r w:rsidR="00FE7051">
        <w:rPr>
          <w:rFonts w:cs="Arial"/>
          <w:bCs/>
        </w:rPr>
        <w:t>s</w:t>
      </w:r>
      <w:r w:rsidRPr="008C7673">
        <w:rPr>
          <w:rFonts w:cs="Arial"/>
          <w:bCs/>
        </w:rPr>
        <w:t>.</w:t>
      </w:r>
    </w:p>
    <w:p w14:paraId="2E4DAE47" w14:textId="77777777" w:rsidR="008C7673" w:rsidRPr="008C7673" w:rsidRDefault="008C7673" w:rsidP="008C7673">
      <w:pPr>
        <w:spacing w:after="0" w:line="250" w:lineRule="exact"/>
        <w:rPr>
          <w:rFonts w:cs="Arial"/>
          <w:bCs/>
        </w:rPr>
      </w:pPr>
    </w:p>
    <w:p w14:paraId="43B8BAB7" w14:textId="77777777" w:rsidR="00E12865" w:rsidRDefault="00E12865" w:rsidP="00E12865">
      <w:pPr>
        <w:spacing w:after="0" w:line="250" w:lineRule="exact"/>
        <w:rPr>
          <w:rFonts w:cs="Arial"/>
          <w:bCs/>
        </w:rPr>
      </w:pPr>
    </w:p>
    <w:p w14:paraId="70CD4F77" w14:textId="77777777" w:rsidR="0061142C" w:rsidRDefault="0061142C" w:rsidP="00E12865">
      <w:pPr>
        <w:spacing w:after="0" w:line="250" w:lineRule="exact"/>
        <w:rPr>
          <w:rFonts w:cs="Arial"/>
          <w:b/>
          <w:bCs/>
        </w:rPr>
      </w:pPr>
    </w:p>
    <w:p w14:paraId="1C80B294" w14:textId="77777777" w:rsidR="0061142C" w:rsidRDefault="0061142C" w:rsidP="00E12865">
      <w:pPr>
        <w:spacing w:after="0" w:line="250" w:lineRule="exact"/>
        <w:rPr>
          <w:rFonts w:cs="Arial"/>
          <w:b/>
          <w:bCs/>
        </w:rPr>
      </w:pPr>
    </w:p>
    <w:p w14:paraId="6DB2D178" w14:textId="0F6E7B66" w:rsidR="00E12865" w:rsidRPr="00E12865" w:rsidRDefault="00E12865" w:rsidP="00E12865">
      <w:pPr>
        <w:spacing w:after="0" w:line="250" w:lineRule="exact"/>
        <w:rPr>
          <w:rFonts w:cs="Arial"/>
          <w:b/>
          <w:bCs/>
        </w:rPr>
      </w:pPr>
      <w:r w:rsidRPr="00E12865">
        <w:rPr>
          <w:rFonts w:cs="Arial"/>
          <w:b/>
          <w:bCs/>
        </w:rPr>
        <w:lastRenderedPageBreak/>
        <w:t>Use of pension savings, Collective Defined Contribution, and investment pathways</w:t>
      </w:r>
    </w:p>
    <w:p w14:paraId="2ACF651D" w14:textId="1D35E9AD" w:rsidR="00E12865" w:rsidRDefault="00E12865" w:rsidP="009176F9">
      <w:pPr>
        <w:spacing w:after="0" w:line="250" w:lineRule="exact"/>
        <w:ind w:left="720"/>
        <w:rPr>
          <w:rFonts w:cs="Arial"/>
          <w:b/>
        </w:rPr>
      </w:pPr>
    </w:p>
    <w:p w14:paraId="148275C6" w14:textId="77777777" w:rsidR="00FE7051" w:rsidRDefault="00633EF9" w:rsidP="00633EF9">
      <w:pPr>
        <w:spacing w:after="0" w:line="250" w:lineRule="exact"/>
        <w:rPr>
          <w:rFonts w:cs="Arial"/>
          <w:bCs/>
        </w:rPr>
      </w:pPr>
      <w:r w:rsidRPr="00633EF9">
        <w:rPr>
          <w:rFonts w:cs="Arial"/>
          <w:bCs/>
        </w:rPr>
        <w:t xml:space="preserve">While some groups’ needs might be well met by existing pension provision options, </w:t>
      </w:r>
      <w:r w:rsidR="006122CA">
        <w:rPr>
          <w:rFonts w:cs="Arial"/>
          <w:bCs/>
        </w:rPr>
        <w:t xml:space="preserve">the </w:t>
      </w:r>
      <w:r w:rsidR="00C82B99">
        <w:rPr>
          <w:rFonts w:cs="Arial"/>
          <w:bCs/>
        </w:rPr>
        <w:t>IFoA</w:t>
      </w:r>
      <w:r w:rsidRPr="00633EF9">
        <w:rPr>
          <w:rFonts w:cs="Arial"/>
          <w:bCs/>
        </w:rPr>
        <w:t xml:space="preserve"> </w:t>
      </w:r>
      <w:r w:rsidR="006122CA">
        <w:rPr>
          <w:rFonts w:cs="Arial"/>
          <w:bCs/>
        </w:rPr>
        <w:t>is</w:t>
      </w:r>
      <w:r w:rsidR="006122CA" w:rsidRPr="00633EF9">
        <w:rPr>
          <w:rFonts w:cs="Arial"/>
          <w:bCs/>
        </w:rPr>
        <w:t xml:space="preserve"> </w:t>
      </w:r>
      <w:r w:rsidRPr="00633EF9">
        <w:rPr>
          <w:rFonts w:cs="Arial"/>
          <w:bCs/>
        </w:rPr>
        <w:t xml:space="preserve">of the view that better options could be made available for some groups.  We are open minded about the </w:t>
      </w:r>
      <w:r w:rsidR="00C82B99" w:rsidRPr="00633EF9">
        <w:rPr>
          <w:rFonts w:cs="Arial"/>
          <w:bCs/>
        </w:rPr>
        <w:t>possibilities and</w:t>
      </w:r>
      <w:r w:rsidRPr="00633EF9">
        <w:rPr>
          <w:rFonts w:cs="Arial"/>
          <w:bCs/>
        </w:rPr>
        <w:t xml:space="preserve"> have recently been investigating two options in particular: Collective Defined Contribution (CDC) and</w:t>
      </w:r>
      <w:r w:rsidR="00E637C2">
        <w:rPr>
          <w:rFonts w:cs="Arial"/>
          <w:bCs/>
        </w:rPr>
        <w:t xml:space="preserve"> Pooled Annuity Funds (also called</w:t>
      </w:r>
      <w:r w:rsidRPr="00633EF9">
        <w:rPr>
          <w:rFonts w:cs="Arial"/>
          <w:bCs/>
        </w:rPr>
        <w:t xml:space="preserve"> </w:t>
      </w:r>
      <w:r w:rsidR="00E637C2">
        <w:rPr>
          <w:rFonts w:cs="Arial"/>
          <w:bCs/>
        </w:rPr>
        <w:t>“</w:t>
      </w:r>
      <w:r w:rsidRPr="00633EF9">
        <w:rPr>
          <w:rFonts w:cs="Arial"/>
          <w:bCs/>
        </w:rPr>
        <w:t>modern tontines</w:t>
      </w:r>
      <w:r w:rsidR="00E637C2">
        <w:rPr>
          <w:rFonts w:cs="Arial"/>
          <w:bCs/>
        </w:rPr>
        <w:t>”)</w:t>
      </w:r>
      <w:r w:rsidRPr="00633EF9">
        <w:rPr>
          <w:rFonts w:cs="Arial"/>
          <w:bCs/>
        </w:rPr>
        <w:t>.</w:t>
      </w:r>
    </w:p>
    <w:p w14:paraId="3F37BE21" w14:textId="77777777" w:rsidR="0061142C" w:rsidRDefault="0061142C" w:rsidP="00633EF9">
      <w:pPr>
        <w:spacing w:after="0" w:line="250" w:lineRule="exact"/>
        <w:rPr>
          <w:rFonts w:cs="Arial"/>
          <w:bCs/>
        </w:rPr>
      </w:pPr>
    </w:p>
    <w:p w14:paraId="3478FF87" w14:textId="21148096" w:rsidR="00C82B99" w:rsidRDefault="00C82B99" w:rsidP="00633EF9">
      <w:pPr>
        <w:spacing w:after="0" w:line="250" w:lineRule="exact"/>
        <w:rPr>
          <w:rFonts w:cs="Arial"/>
          <w:bCs/>
        </w:rPr>
      </w:pPr>
      <w:r>
        <w:rPr>
          <w:rFonts w:cs="Arial"/>
          <w:bCs/>
        </w:rPr>
        <w:t>CDC pensions</w:t>
      </w:r>
      <w:r w:rsidR="00633EF9" w:rsidRPr="00633EF9">
        <w:rPr>
          <w:rFonts w:cs="Arial"/>
          <w:bCs/>
        </w:rPr>
        <w:t xml:space="preserve"> give individuals an income for life in retirement, at fixed cost for employers – these come with no guarantee of benefit levels but are invested to give an expectation of </w:t>
      </w:r>
      <w:r w:rsidRPr="00633EF9">
        <w:rPr>
          <w:rFonts w:cs="Arial"/>
          <w:bCs/>
        </w:rPr>
        <w:t>cost-effective</w:t>
      </w:r>
      <w:r w:rsidR="00633EF9" w:rsidRPr="00633EF9">
        <w:rPr>
          <w:rFonts w:cs="Arial"/>
          <w:bCs/>
        </w:rPr>
        <w:t xml:space="preserve"> pensions.  Based on the CDC design developed by Royal Mail with the Communication Workers Union, working with some of our</w:t>
      </w:r>
      <w:r w:rsidR="0061142C">
        <w:rPr>
          <w:rFonts w:cs="Arial"/>
          <w:bCs/>
        </w:rPr>
        <w:t xml:space="preserve"> </w:t>
      </w:r>
      <w:r w:rsidR="00633EF9" w:rsidRPr="00633EF9">
        <w:rPr>
          <w:rFonts w:cs="Arial"/>
          <w:bCs/>
        </w:rPr>
        <w:t>members, the Government has made good progress in this area through the Pension Schemes Act 2021</w:t>
      </w:r>
      <w:r>
        <w:rPr>
          <w:rFonts w:cs="Arial"/>
          <w:bCs/>
        </w:rPr>
        <w:t>, and the subsequent development of the CDC code of practice.</w:t>
      </w:r>
    </w:p>
    <w:p w14:paraId="24E48801" w14:textId="77777777" w:rsidR="00C82B99" w:rsidRDefault="00C82B99" w:rsidP="00633EF9">
      <w:pPr>
        <w:spacing w:after="0" w:line="250" w:lineRule="exact"/>
        <w:rPr>
          <w:rFonts w:cs="Arial"/>
          <w:bCs/>
        </w:rPr>
      </w:pPr>
    </w:p>
    <w:p w14:paraId="0B3C060C" w14:textId="490912AE" w:rsidR="00633EF9" w:rsidRPr="00633EF9" w:rsidRDefault="00633EF9" w:rsidP="00633EF9">
      <w:pPr>
        <w:spacing w:after="0" w:line="250" w:lineRule="exact"/>
        <w:rPr>
          <w:rFonts w:cs="Arial"/>
          <w:bCs/>
        </w:rPr>
      </w:pPr>
      <w:r w:rsidRPr="00633EF9">
        <w:rPr>
          <w:rFonts w:cs="Arial"/>
          <w:bCs/>
        </w:rPr>
        <w:t xml:space="preserve">IFoA is seeking further Government action to show employers that CDC is an attractive alternative to DC schemes, address concerns employers may have, such as regulatory burdens and costs, and to support the introduction of multi-employer and master trust CDC schemes </w:t>
      </w:r>
      <w:r w:rsidR="00C82B99" w:rsidRPr="00633EF9">
        <w:rPr>
          <w:rFonts w:cs="Arial"/>
          <w:bCs/>
        </w:rPr>
        <w:t>to</w:t>
      </w:r>
      <w:r w:rsidRPr="00633EF9">
        <w:rPr>
          <w:rFonts w:cs="Arial"/>
          <w:bCs/>
        </w:rPr>
        <w:t xml:space="preserve"> provide employees of smaller organisations with access to CDC. </w:t>
      </w:r>
      <w:r w:rsidR="006122CA">
        <w:rPr>
          <w:rFonts w:cs="Arial"/>
          <w:bCs/>
        </w:rPr>
        <w:t xml:space="preserve">The </w:t>
      </w:r>
      <w:r w:rsidR="00C82B99">
        <w:rPr>
          <w:rFonts w:cs="Arial"/>
          <w:bCs/>
        </w:rPr>
        <w:t xml:space="preserve">IFoA </w:t>
      </w:r>
      <w:r w:rsidR="006122CA">
        <w:rPr>
          <w:rFonts w:cs="Arial"/>
          <w:bCs/>
        </w:rPr>
        <w:t xml:space="preserve">is </w:t>
      </w:r>
      <w:r w:rsidR="00C82B99">
        <w:rPr>
          <w:rFonts w:cs="Arial"/>
          <w:bCs/>
        </w:rPr>
        <w:t xml:space="preserve">open to engagement with DWP on how this may be facilitated. </w:t>
      </w:r>
    </w:p>
    <w:p w14:paraId="232AEAB9" w14:textId="407B85C3" w:rsidR="00633EF9" w:rsidRDefault="00633EF9" w:rsidP="00633EF9">
      <w:pPr>
        <w:spacing w:after="0" w:line="250" w:lineRule="exact"/>
        <w:rPr>
          <w:rFonts w:cs="Arial"/>
          <w:b/>
        </w:rPr>
      </w:pPr>
    </w:p>
    <w:p w14:paraId="023938B2" w14:textId="7C3EB5F5" w:rsidR="00C82B99" w:rsidRDefault="00633EF9" w:rsidP="00633EF9">
      <w:pPr>
        <w:spacing w:after="0" w:line="250" w:lineRule="exact"/>
        <w:rPr>
          <w:rFonts w:cs="Arial"/>
        </w:rPr>
      </w:pPr>
      <w:r w:rsidRPr="00633EF9">
        <w:rPr>
          <w:rFonts w:cs="Arial"/>
        </w:rPr>
        <w:t xml:space="preserve">Further, the IFoA is investigating the advantages of </w:t>
      </w:r>
      <w:r w:rsidR="00E637C2">
        <w:rPr>
          <w:rFonts w:cs="Arial"/>
        </w:rPr>
        <w:t>Pooled Annuity Funds</w:t>
      </w:r>
      <w:r w:rsidRPr="00633EF9">
        <w:rPr>
          <w:rFonts w:cs="Arial"/>
        </w:rPr>
        <w:t xml:space="preserve">.  These would build on individuals’ current option to drawdown from a DC pot in retirement, by introducing an additional ‘product’ through which longer-lived members, who therefore have need for additional funds, would receive top ups to their pots from those members who die relatively younger. </w:t>
      </w:r>
    </w:p>
    <w:p w14:paraId="167D67E7" w14:textId="77777777" w:rsidR="00C82B99" w:rsidRDefault="00C82B99" w:rsidP="00633EF9">
      <w:pPr>
        <w:spacing w:after="0" w:line="250" w:lineRule="exact"/>
        <w:rPr>
          <w:rFonts w:cs="Arial"/>
        </w:rPr>
      </w:pPr>
    </w:p>
    <w:p w14:paraId="3A0D1335" w14:textId="6BECE1FA" w:rsidR="00633EF9" w:rsidRPr="00633EF9" w:rsidRDefault="00633EF9" w:rsidP="00633EF9">
      <w:pPr>
        <w:spacing w:after="0" w:line="250" w:lineRule="exact"/>
        <w:rPr>
          <w:rFonts w:cs="Arial"/>
        </w:rPr>
      </w:pPr>
      <w:r w:rsidRPr="00633EF9">
        <w:rPr>
          <w:rFonts w:cs="Arial"/>
        </w:rPr>
        <w:t xml:space="preserve">Funds can still be retained for dependants. </w:t>
      </w:r>
      <w:r w:rsidR="00E637C2">
        <w:rPr>
          <w:rFonts w:cs="Arial"/>
        </w:rPr>
        <w:t>Pooled Annuity Funds</w:t>
      </w:r>
      <w:r w:rsidR="00E637C2" w:rsidRPr="00633EF9">
        <w:rPr>
          <w:rFonts w:cs="Arial"/>
        </w:rPr>
        <w:t xml:space="preserve"> </w:t>
      </w:r>
      <w:r w:rsidRPr="00633EF9">
        <w:rPr>
          <w:rFonts w:cs="Arial"/>
        </w:rPr>
        <w:t>are another way of providing a more regular ‘income for life’.</w:t>
      </w:r>
      <w:r w:rsidR="00C82B99">
        <w:rPr>
          <w:rFonts w:cs="Arial"/>
        </w:rPr>
        <w:t xml:space="preserve"> </w:t>
      </w:r>
      <w:r w:rsidRPr="00633EF9">
        <w:rPr>
          <w:rFonts w:cs="Arial"/>
        </w:rPr>
        <w:t xml:space="preserve">Our initial academic research on this has been </w:t>
      </w:r>
      <w:r w:rsidR="00C82B99" w:rsidRPr="00633EF9">
        <w:rPr>
          <w:rFonts w:cs="Arial"/>
        </w:rPr>
        <w:t>completed</w:t>
      </w:r>
      <w:r w:rsidR="00FE7051">
        <w:rPr>
          <w:rStyle w:val="FootnoteReference"/>
          <w:rFonts w:cs="Arial"/>
        </w:rPr>
        <w:footnoteReference w:id="5"/>
      </w:r>
      <w:r w:rsidR="00C82B99" w:rsidRPr="00633EF9">
        <w:rPr>
          <w:rFonts w:cs="Arial"/>
        </w:rPr>
        <w:t xml:space="preserve"> and</w:t>
      </w:r>
      <w:r w:rsidRPr="00633EF9">
        <w:rPr>
          <w:rFonts w:cs="Arial"/>
        </w:rPr>
        <w:t xml:space="preserve"> concluded that </w:t>
      </w:r>
      <w:r w:rsidR="00E637C2">
        <w:rPr>
          <w:rFonts w:cs="Arial"/>
        </w:rPr>
        <w:t>Pooled Annuity Funds</w:t>
      </w:r>
      <w:r w:rsidRPr="00633EF9">
        <w:rPr>
          <w:rFonts w:cs="Arial"/>
        </w:rPr>
        <w:t xml:space="preserve"> are expected to generate much higher retirement income than a standard DC drawdown pot which is draw</w:t>
      </w:r>
      <w:r w:rsidR="006122CA">
        <w:rPr>
          <w:rFonts w:cs="Arial"/>
        </w:rPr>
        <w:t xml:space="preserve">n </w:t>
      </w:r>
      <w:r w:rsidRPr="00633EF9">
        <w:rPr>
          <w:rFonts w:cs="Arial"/>
        </w:rPr>
        <w:t xml:space="preserve">down prudently to mitigate the risk of a long lifespan.  We have commissioned further research into the feasibility of </w:t>
      </w:r>
      <w:r w:rsidR="00E637C2">
        <w:rPr>
          <w:rFonts w:cs="Arial"/>
        </w:rPr>
        <w:t>Pooled Annuity Funds</w:t>
      </w:r>
      <w:r w:rsidRPr="00633EF9">
        <w:rPr>
          <w:rFonts w:cs="Arial"/>
        </w:rPr>
        <w:t xml:space="preserve"> and to compare outcomes with other pension vehicles.  If this research indicates that </w:t>
      </w:r>
      <w:r w:rsidR="00E637C2">
        <w:rPr>
          <w:rFonts w:cs="Arial"/>
        </w:rPr>
        <w:t>Pooled Annuity Funds</w:t>
      </w:r>
      <w:r w:rsidRPr="00633EF9">
        <w:rPr>
          <w:rFonts w:cs="Arial"/>
        </w:rPr>
        <w:t xml:space="preserve"> could be a superior way to provide benefits for certain groups of UK individuals, we would be keen to engage with industry over appetite and with Government over the feasibility of allowing DC pension trusts to provide </w:t>
      </w:r>
      <w:r w:rsidR="00B9292B">
        <w:rPr>
          <w:rFonts w:cs="Arial"/>
        </w:rPr>
        <w:t>Pooled Annuity Funds</w:t>
      </w:r>
      <w:r w:rsidRPr="00633EF9">
        <w:rPr>
          <w:rFonts w:cs="Arial"/>
        </w:rPr>
        <w:t>.</w:t>
      </w:r>
    </w:p>
    <w:p w14:paraId="5DC7596A" w14:textId="5F629A72" w:rsidR="00633EF9" w:rsidRDefault="00633EF9" w:rsidP="00633EF9">
      <w:pPr>
        <w:spacing w:after="0" w:line="250" w:lineRule="exact"/>
        <w:rPr>
          <w:rFonts w:cs="Arial"/>
        </w:rPr>
      </w:pPr>
    </w:p>
    <w:p w14:paraId="64CC0332" w14:textId="77777777" w:rsidR="000E3613" w:rsidRDefault="000E3613" w:rsidP="00633EF9">
      <w:pPr>
        <w:spacing w:after="0" w:line="250" w:lineRule="exact"/>
        <w:rPr>
          <w:rFonts w:cs="Arial"/>
        </w:rPr>
      </w:pPr>
    </w:p>
    <w:p w14:paraId="0659DB7F" w14:textId="77777777" w:rsidR="00E12865" w:rsidRDefault="00E12865" w:rsidP="00E12865">
      <w:pPr>
        <w:spacing w:after="0" w:line="250" w:lineRule="exact"/>
        <w:rPr>
          <w:rFonts w:cs="Arial"/>
          <w:b/>
        </w:rPr>
      </w:pPr>
    </w:p>
    <w:p w14:paraId="2BCB36EE" w14:textId="35C8D46B" w:rsidR="006E343C" w:rsidRDefault="00E12865" w:rsidP="00E12865">
      <w:pPr>
        <w:spacing w:after="0" w:line="250" w:lineRule="exact"/>
        <w:rPr>
          <w:rFonts w:cs="Arial"/>
          <w:b/>
        </w:rPr>
      </w:pPr>
      <w:r>
        <w:rPr>
          <w:rFonts w:cs="Arial"/>
          <w:b/>
        </w:rPr>
        <w:t>The ‘Great Risk Transfer’ report and relevant recommendations</w:t>
      </w:r>
    </w:p>
    <w:p w14:paraId="0F21EB29" w14:textId="77777777" w:rsidR="00FE7051" w:rsidRDefault="00FE7051" w:rsidP="002F3640">
      <w:pPr>
        <w:rPr>
          <w:rFonts w:cs="Arial"/>
        </w:rPr>
      </w:pPr>
    </w:p>
    <w:p w14:paraId="60FB49D1" w14:textId="3D8414E2" w:rsidR="00F83C18" w:rsidRDefault="00F83C18" w:rsidP="002F3640">
      <w:pPr>
        <w:rPr>
          <w:rFonts w:cs="Arial"/>
        </w:rPr>
      </w:pPr>
      <w:r>
        <w:rPr>
          <w:rFonts w:cs="Arial"/>
        </w:rPr>
        <w:t xml:space="preserve">In </w:t>
      </w:r>
      <w:r w:rsidR="006122CA">
        <w:rPr>
          <w:rFonts w:cs="Arial"/>
        </w:rPr>
        <w:t xml:space="preserve">its </w:t>
      </w:r>
      <w:r w:rsidRPr="00F04F9A">
        <w:rPr>
          <w:rFonts w:cs="Arial"/>
          <w:b/>
        </w:rPr>
        <w:t>‘Great Risk Transfer’</w:t>
      </w:r>
      <w:r>
        <w:rPr>
          <w:rFonts w:cs="Arial"/>
        </w:rPr>
        <w:t xml:space="preserve"> report, the IFoA made </w:t>
      </w:r>
      <w:r w:rsidR="00325817">
        <w:rPr>
          <w:rFonts w:cs="Arial"/>
        </w:rPr>
        <w:t>several</w:t>
      </w:r>
      <w:r>
        <w:rPr>
          <w:rFonts w:cs="Arial"/>
        </w:rPr>
        <w:t xml:space="preserve"> recommendations relevant to</w:t>
      </w:r>
      <w:r w:rsidR="006122CA">
        <w:rPr>
          <w:rFonts w:cs="Arial"/>
        </w:rPr>
        <w:t xml:space="preserve"> the</w:t>
      </w:r>
      <w:r>
        <w:rPr>
          <w:rFonts w:cs="Arial"/>
        </w:rPr>
        <w:t xml:space="preserve"> </w:t>
      </w:r>
      <w:r w:rsidR="00E12865">
        <w:rPr>
          <w:rFonts w:cs="Arial"/>
        </w:rPr>
        <w:t>Call for Evidence</w:t>
      </w:r>
      <w:r>
        <w:rPr>
          <w:rFonts w:cs="Arial"/>
        </w:rPr>
        <w:t xml:space="preserve">. We </w:t>
      </w:r>
      <w:r w:rsidR="00024993">
        <w:rPr>
          <w:rFonts w:cs="Arial"/>
        </w:rPr>
        <w:t>are</w:t>
      </w:r>
      <w:r>
        <w:rPr>
          <w:rFonts w:cs="Arial"/>
        </w:rPr>
        <w:t xml:space="preserve"> happy </w:t>
      </w:r>
      <w:r w:rsidR="00024993">
        <w:rPr>
          <w:rFonts w:cs="Arial"/>
        </w:rPr>
        <w:t>to further discuss any aspects of the report and are pleased to see some recommendations now progressing.</w:t>
      </w:r>
      <w:r>
        <w:rPr>
          <w:rFonts w:cs="Arial"/>
        </w:rPr>
        <w:t xml:space="preserve"> You can find a full breakdown on each of the recommendations in the final GRT report: </w:t>
      </w:r>
      <w:hyperlink r:id="rId16" w:history="1">
        <w:r>
          <w:rPr>
            <w:rStyle w:val="Hyperlink"/>
            <w:rFonts w:cs="Arial"/>
          </w:rPr>
          <w:t>here</w:t>
        </w:r>
      </w:hyperlink>
      <w:r>
        <w:rPr>
          <w:rStyle w:val="FootnoteReference"/>
          <w:rFonts w:cs="Arial"/>
        </w:rPr>
        <w:footnoteReference w:id="6"/>
      </w:r>
      <w:r>
        <w:rPr>
          <w:rFonts w:cs="Arial"/>
        </w:rPr>
        <w:t>.</w:t>
      </w:r>
      <w:r w:rsidR="00024993">
        <w:rPr>
          <w:rFonts w:cs="Arial"/>
        </w:rPr>
        <w:t xml:space="preserve">  However, to summarise the I</w:t>
      </w:r>
      <w:r w:rsidR="004502C6">
        <w:rPr>
          <w:rFonts w:cs="Arial"/>
        </w:rPr>
        <w:t>F</w:t>
      </w:r>
      <w:r w:rsidR="00024993">
        <w:rPr>
          <w:rFonts w:cs="Arial"/>
        </w:rPr>
        <w:t>oA’s current position:</w:t>
      </w:r>
    </w:p>
    <w:p w14:paraId="234BCD64" w14:textId="65E9DD62" w:rsidR="00F83C18" w:rsidRDefault="00F83C18" w:rsidP="00F83C18">
      <w:pPr>
        <w:pStyle w:val="ListParagraph"/>
        <w:numPr>
          <w:ilvl w:val="0"/>
          <w:numId w:val="26"/>
        </w:numPr>
        <w:rPr>
          <w:rFonts w:cs="Arial"/>
        </w:rPr>
      </w:pPr>
      <w:r w:rsidRPr="00F83C18">
        <w:rPr>
          <w:rFonts w:cs="Arial"/>
          <w:b/>
        </w:rPr>
        <w:t>CDC Schemes</w:t>
      </w:r>
      <w:r w:rsidRPr="00F83C18">
        <w:rPr>
          <w:rFonts w:cs="Arial"/>
        </w:rPr>
        <w:t xml:space="preserve"> </w:t>
      </w:r>
      <w:r w:rsidR="003A1370">
        <w:rPr>
          <w:rFonts w:cs="Arial"/>
        </w:rPr>
        <w:t>–</w:t>
      </w:r>
      <w:r>
        <w:rPr>
          <w:rFonts w:cs="Arial"/>
        </w:rPr>
        <w:t xml:space="preserve"> </w:t>
      </w:r>
      <w:r w:rsidR="00BB4058">
        <w:rPr>
          <w:rFonts w:cs="Arial"/>
        </w:rPr>
        <w:t>The I</w:t>
      </w:r>
      <w:r w:rsidR="00B5349D">
        <w:rPr>
          <w:rFonts w:cs="Arial"/>
        </w:rPr>
        <w:t>F</w:t>
      </w:r>
      <w:r w:rsidR="00BB4058">
        <w:rPr>
          <w:rFonts w:cs="Arial"/>
        </w:rPr>
        <w:t xml:space="preserve">oA </w:t>
      </w:r>
      <w:r w:rsidR="00024993">
        <w:rPr>
          <w:rFonts w:cs="Arial"/>
        </w:rPr>
        <w:t>is supportive of</w:t>
      </w:r>
      <w:r w:rsidRPr="00F83C18">
        <w:rPr>
          <w:rFonts w:cs="Arial"/>
        </w:rPr>
        <w:t xml:space="preserve"> </w:t>
      </w:r>
      <w:r w:rsidR="009E5D4E">
        <w:rPr>
          <w:rFonts w:cs="Arial"/>
        </w:rPr>
        <w:t>G</w:t>
      </w:r>
      <w:r w:rsidR="00BB4058">
        <w:rPr>
          <w:rFonts w:cs="Arial"/>
        </w:rPr>
        <w:t>overnment action to explore the viability of multi-employer</w:t>
      </w:r>
      <w:r w:rsidR="004D7E09">
        <w:rPr>
          <w:rFonts w:cs="Arial"/>
        </w:rPr>
        <w:t xml:space="preserve"> or master trust</w:t>
      </w:r>
      <w:r w:rsidR="00BB4058">
        <w:rPr>
          <w:rFonts w:cs="Arial"/>
        </w:rPr>
        <w:t xml:space="preserve"> CDC schemes and to make CDC an attractive prospect for employers generally.</w:t>
      </w:r>
      <w:r w:rsidRPr="00F83C18">
        <w:rPr>
          <w:rFonts w:cs="Arial"/>
        </w:rPr>
        <w:t xml:space="preserve"> </w:t>
      </w:r>
    </w:p>
    <w:p w14:paraId="2E132F79" w14:textId="77777777" w:rsidR="00F83C18" w:rsidRDefault="00F83C18" w:rsidP="00F83C18">
      <w:pPr>
        <w:pStyle w:val="ListParagraph"/>
        <w:rPr>
          <w:rFonts w:cs="Arial"/>
        </w:rPr>
      </w:pPr>
    </w:p>
    <w:p w14:paraId="31110D00" w14:textId="456A0905" w:rsidR="00F83C18" w:rsidRDefault="00F83C18" w:rsidP="00F83C18">
      <w:pPr>
        <w:pStyle w:val="ListParagraph"/>
        <w:numPr>
          <w:ilvl w:val="0"/>
          <w:numId w:val="26"/>
        </w:numPr>
        <w:rPr>
          <w:rFonts w:cs="Arial"/>
        </w:rPr>
      </w:pPr>
      <w:r w:rsidRPr="00F83C18">
        <w:rPr>
          <w:rFonts w:cs="Arial"/>
          <w:b/>
        </w:rPr>
        <w:t>Decumulation pathways</w:t>
      </w:r>
      <w:r>
        <w:rPr>
          <w:rFonts w:cs="Arial"/>
        </w:rPr>
        <w:t xml:space="preserve"> </w:t>
      </w:r>
      <w:r w:rsidR="00DB264F">
        <w:rPr>
          <w:rFonts w:cs="Arial"/>
        </w:rPr>
        <w:t>–</w:t>
      </w:r>
      <w:r>
        <w:rPr>
          <w:rFonts w:cs="Arial"/>
        </w:rPr>
        <w:t xml:space="preserve"> </w:t>
      </w:r>
      <w:r w:rsidRPr="00F83C18">
        <w:rPr>
          <w:rFonts w:cs="Arial"/>
        </w:rPr>
        <w:t xml:space="preserve">We </w:t>
      </w:r>
      <w:r w:rsidR="00024993">
        <w:rPr>
          <w:rFonts w:cs="Arial"/>
        </w:rPr>
        <w:t xml:space="preserve">are pleased that </w:t>
      </w:r>
      <w:r w:rsidRPr="00F83C18">
        <w:rPr>
          <w:rFonts w:cs="Arial"/>
        </w:rPr>
        <w:t xml:space="preserve">the </w:t>
      </w:r>
      <w:r w:rsidR="009E5D4E">
        <w:rPr>
          <w:rFonts w:cs="Arial"/>
        </w:rPr>
        <w:t>G</w:t>
      </w:r>
      <w:r w:rsidR="009E5D4E" w:rsidRPr="00F83C18">
        <w:rPr>
          <w:rFonts w:cs="Arial"/>
        </w:rPr>
        <w:t xml:space="preserve">overnment </w:t>
      </w:r>
      <w:r w:rsidR="00024993">
        <w:rPr>
          <w:rFonts w:cs="Arial"/>
        </w:rPr>
        <w:t xml:space="preserve">is </w:t>
      </w:r>
      <w:r w:rsidRPr="00F83C18">
        <w:rPr>
          <w:rFonts w:cs="Arial"/>
        </w:rPr>
        <w:t>consider</w:t>
      </w:r>
      <w:r w:rsidR="00024993">
        <w:rPr>
          <w:rFonts w:cs="Arial"/>
        </w:rPr>
        <w:t>ing</w:t>
      </w:r>
      <w:r w:rsidRPr="00F83C18">
        <w:rPr>
          <w:rFonts w:cs="Arial"/>
        </w:rPr>
        <w:t xml:space="preserve"> the introduction of default decumulation pathways as an option for all, and as a safety net for savers who cannot or will not engage with the decumulation process when entering retirement. Ideally this would cover not </w:t>
      </w:r>
      <w:r w:rsidRPr="00F83C18">
        <w:rPr>
          <w:rFonts w:cs="Arial"/>
        </w:rPr>
        <w:lastRenderedPageBreak/>
        <w:t>only contract-based pension schemes, but also trust-based pension schemes, since the latter may increasingly provide decumulation solutions.</w:t>
      </w:r>
    </w:p>
    <w:p w14:paraId="2E2913D3" w14:textId="77777777" w:rsidR="00DB264F" w:rsidRDefault="00DB264F" w:rsidP="00DB264F">
      <w:pPr>
        <w:pStyle w:val="ListParagraph"/>
        <w:rPr>
          <w:rFonts w:cs="Arial"/>
        </w:rPr>
      </w:pPr>
    </w:p>
    <w:p w14:paraId="762C7CE2" w14:textId="77777777" w:rsidR="00F83C18" w:rsidRPr="00F83C18" w:rsidRDefault="00F83C18" w:rsidP="00F83C18">
      <w:pPr>
        <w:pStyle w:val="ListParagraph"/>
        <w:rPr>
          <w:rFonts w:cs="Arial"/>
        </w:rPr>
      </w:pPr>
    </w:p>
    <w:p w14:paraId="120E60CC" w14:textId="0E73256B" w:rsidR="00F83C18" w:rsidRDefault="00F83C18" w:rsidP="004B6C3B">
      <w:pPr>
        <w:pStyle w:val="ListParagraph"/>
        <w:numPr>
          <w:ilvl w:val="0"/>
          <w:numId w:val="26"/>
        </w:numPr>
        <w:rPr>
          <w:rFonts w:cs="Arial"/>
        </w:rPr>
      </w:pPr>
      <w:r w:rsidRPr="00F83C18">
        <w:rPr>
          <w:rFonts w:cs="Arial"/>
          <w:b/>
        </w:rPr>
        <w:t>Pension Wise</w:t>
      </w:r>
      <w:r>
        <w:rPr>
          <w:rFonts w:cs="Arial"/>
        </w:rPr>
        <w:t xml:space="preserve"> </w:t>
      </w:r>
      <w:r w:rsidR="00DB264F">
        <w:rPr>
          <w:rFonts w:cs="Arial"/>
        </w:rPr>
        <w:t>–</w:t>
      </w:r>
      <w:r>
        <w:rPr>
          <w:rFonts w:cs="Arial"/>
        </w:rPr>
        <w:t xml:space="preserve"> </w:t>
      </w:r>
      <w:r w:rsidRPr="00F83C18">
        <w:rPr>
          <w:rFonts w:cs="Arial"/>
        </w:rPr>
        <w:t>We recommend that the Financial Conduct Authority (FCA) should set a specific and ambitious target to achieve a significant increase in take-up by individuals of Pension Wise appointments before accessing their pension.</w:t>
      </w:r>
    </w:p>
    <w:p w14:paraId="726F331D" w14:textId="77777777" w:rsidR="0061142C" w:rsidRPr="004B6C3B" w:rsidRDefault="0061142C" w:rsidP="0061142C">
      <w:pPr>
        <w:pStyle w:val="ListParagraph"/>
        <w:rPr>
          <w:rFonts w:cs="Arial"/>
        </w:rPr>
      </w:pPr>
    </w:p>
    <w:p w14:paraId="4AFAD390" w14:textId="61D04851" w:rsidR="00DB264F" w:rsidRPr="004B6C3B" w:rsidRDefault="00F83C18" w:rsidP="004B6C3B">
      <w:pPr>
        <w:pStyle w:val="ListParagraph"/>
        <w:numPr>
          <w:ilvl w:val="0"/>
          <w:numId w:val="26"/>
        </w:numPr>
        <w:rPr>
          <w:rFonts w:cs="Arial"/>
        </w:rPr>
      </w:pPr>
      <w:r w:rsidRPr="0003259D">
        <w:rPr>
          <w:rFonts w:cs="Arial"/>
          <w:b/>
        </w:rPr>
        <w:t>Pension Dashboards</w:t>
      </w:r>
      <w:r w:rsidRPr="0003259D">
        <w:rPr>
          <w:rFonts w:cs="Arial"/>
        </w:rPr>
        <w:t xml:space="preserve"> </w:t>
      </w:r>
      <w:r w:rsidR="003A1370" w:rsidRPr="0003259D">
        <w:rPr>
          <w:rFonts w:cs="Arial"/>
        </w:rPr>
        <w:t>–</w:t>
      </w:r>
      <w:r w:rsidRPr="0003259D">
        <w:rPr>
          <w:rFonts w:cs="Arial"/>
        </w:rPr>
        <w:t xml:space="preserve"> </w:t>
      </w:r>
      <w:r w:rsidR="00BB4058" w:rsidRPr="0003259D">
        <w:rPr>
          <w:rFonts w:cs="Arial"/>
        </w:rPr>
        <w:t>The I</w:t>
      </w:r>
      <w:r w:rsidR="008665DD">
        <w:rPr>
          <w:rFonts w:cs="Arial"/>
        </w:rPr>
        <w:t>F</w:t>
      </w:r>
      <w:r w:rsidR="00BB4058" w:rsidRPr="0003259D">
        <w:rPr>
          <w:rFonts w:cs="Arial"/>
        </w:rPr>
        <w:t xml:space="preserve">oA </w:t>
      </w:r>
      <w:r w:rsidR="00024993">
        <w:rPr>
          <w:rFonts w:cs="Arial"/>
        </w:rPr>
        <w:t xml:space="preserve">is very supportive of the Dashboards </w:t>
      </w:r>
      <w:r w:rsidR="0061142C">
        <w:rPr>
          <w:rFonts w:cs="Arial"/>
        </w:rPr>
        <w:t>project,</w:t>
      </w:r>
      <w:r w:rsidR="00024993">
        <w:rPr>
          <w:rFonts w:cs="Arial"/>
        </w:rPr>
        <w:t xml:space="preserve"> and we</w:t>
      </w:r>
      <w:r w:rsidR="00BB4058" w:rsidRPr="0003259D">
        <w:rPr>
          <w:rFonts w:cs="Arial"/>
        </w:rPr>
        <w:t xml:space="preserve"> look forward to </w:t>
      </w:r>
      <w:r w:rsidR="006122CA">
        <w:rPr>
          <w:rFonts w:cs="Arial"/>
        </w:rPr>
        <w:t xml:space="preserve">engaging further with DWP as </w:t>
      </w:r>
      <w:r w:rsidR="00024993">
        <w:rPr>
          <w:rFonts w:cs="Arial"/>
        </w:rPr>
        <w:t>it</w:t>
      </w:r>
      <w:r w:rsidR="006122CA">
        <w:rPr>
          <w:rFonts w:cs="Arial"/>
        </w:rPr>
        <w:t xml:space="preserve"> progresses</w:t>
      </w:r>
      <w:r w:rsidR="0003259D">
        <w:rPr>
          <w:rFonts w:cs="Arial"/>
        </w:rPr>
        <w:t>.</w:t>
      </w:r>
    </w:p>
    <w:p w14:paraId="15C20850" w14:textId="77777777" w:rsidR="00FD0B77" w:rsidRPr="00FD0B77" w:rsidRDefault="00FD0B77" w:rsidP="00FD0B77">
      <w:pPr>
        <w:pStyle w:val="ListParagraph"/>
        <w:rPr>
          <w:rFonts w:cs="Arial"/>
        </w:rPr>
      </w:pPr>
    </w:p>
    <w:p w14:paraId="475D989D" w14:textId="7DC4F62A" w:rsidR="003A1370" w:rsidRPr="003A1370" w:rsidRDefault="00F83C18" w:rsidP="003A1370">
      <w:pPr>
        <w:pStyle w:val="ListParagraph"/>
        <w:numPr>
          <w:ilvl w:val="0"/>
          <w:numId w:val="26"/>
        </w:numPr>
        <w:rPr>
          <w:rFonts w:cs="Arial"/>
        </w:rPr>
      </w:pPr>
      <w:r w:rsidRPr="00F83C18">
        <w:rPr>
          <w:rFonts w:cs="Arial"/>
          <w:b/>
        </w:rPr>
        <w:t>Adequacy of pension contribution rates</w:t>
      </w:r>
      <w:r>
        <w:rPr>
          <w:rFonts w:cs="Arial"/>
          <w:b/>
        </w:rPr>
        <w:t xml:space="preserve"> </w:t>
      </w:r>
      <w:r w:rsidR="00DB264F">
        <w:rPr>
          <w:rFonts w:cs="Arial"/>
          <w:b/>
        </w:rPr>
        <w:t>–</w:t>
      </w:r>
      <w:r>
        <w:rPr>
          <w:rFonts w:cs="Arial"/>
          <w:b/>
        </w:rPr>
        <w:t xml:space="preserve"> </w:t>
      </w:r>
      <w:r w:rsidRPr="00F83C18">
        <w:rPr>
          <w:rFonts w:cs="Arial"/>
        </w:rPr>
        <w:t xml:space="preserve">We recommend that the </w:t>
      </w:r>
      <w:r w:rsidR="009E5D4E">
        <w:rPr>
          <w:rFonts w:cs="Arial"/>
        </w:rPr>
        <w:t>G</w:t>
      </w:r>
      <w:r w:rsidRPr="00F83C18">
        <w:rPr>
          <w:rFonts w:cs="Arial"/>
        </w:rPr>
        <w:t xml:space="preserve">overnment should reinvigorate its public messaging around </w:t>
      </w:r>
      <w:r w:rsidR="00EF13CE">
        <w:rPr>
          <w:rFonts w:cs="Arial"/>
        </w:rPr>
        <w:t>adequate p</w:t>
      </w:r>
      <w:r w:rsidRPr="00F83C18">
        <w:rPr>
          <w:rFonts w:cs="Arial"/>
        </w:rPr>
        <w:t xml:space="preserve">ension </w:t>
      </w:r>
      <w:r w:rsidR="00EF13CE">
        <w:rPr>
          <w:rFonts w:cs="Arial"/>
        </w:rPr>
        <w:t xml:space="preserve">(or retirement) </w:t>
      </w:r>
      <w:r w:rsidRPr="00F83C18">
        <w:rPr>
          <w:rFonts w:cs="Arial"/>
        </w:rPr>
        <w:t xml:space="preserve">saving levels – particularly through workplace auto-enrolment pension schemes – to ensure that consumers are not lulled into a false sense of security </w:t>
      </w:r>
      <w:r w:rsidR="009E5D4E">
        <w:rPr>
          <w:rFonts w:cs="Arial"/>
        </w:rPr>
        <w:t>that</w:t>
      </w:r>
      <w:r w:rsidRPr="00F83C18">
        <w:rPr>
          <w:rFonts w:cs="Arial"/>
        </w:rPr>
        <w:t xml:space="preserve"> their saving </w:t>
      </w:r>
      <w:r w:rsidR="00EF13CE">
        <w:rPr>
          <w:rFonts w:cs="Arial"/>
        </w:rPr>
        <w:t xml:space="preserve">for retirement </w:t>
      </w:r>
      <w:r w:rsidRPr="00F83C18">
        <w:rPr>
          <w:rFonts w:cs="Arial"/>
        </w:rPr>
        <w:t xml:space="preserve">will be adequate to achieve their retirement income goals. In doing so, </w:t>
      </w:r>
      <w:r w:rsidR="009E5D4E">
        <w:rPr>
          <w:rFonts w:cs="Arial"/>
        </w:rPr>
        <w:t>the G</w:t>
      </w:r>
      <w:r w:rsidR="009E5D4E" w:rsidRPr="00F83C18">
        <w:rPr>
          <w:rFonts w:cs="Arial"/>
        </w:rPr>
        <w:t xml:space="preserve">overnment </w:t>
      </w:r>
      <w:r w:rsidRPr="00F83C18">
        <w:rPr>
          <w:rFonts w:cs="Arial"/>
        </w:rPr>
        <w:t xml:space="preserve">should use expertise and evidence on testing behavioural responses to different messages and channels, to identify those that are most effective in </w:t>
      </w:r>
      <w:r w:rsidR="00EF13CE">
        <w:rPr>
          <w:rFonts w:cs="Arial"/>
        </w:rPr>
        <w:t>influencing</w:t>
      </w:r>
      <w:r w:rsidR="00EF13CE" w:rsidRPr="00F83C18">
        <w:rPr>
          <w:rFonts w:cs="Arial"/>
        </w:rPr>
        <w:t xml:space="preserve"> </w:t>
      </w:r>
      <w:r w:rsidRPr="00F83C18">
        <w:rPr>
          <w:rFonts w:cs="Arial"/>
        </w:rPr>
        <w:t>saving behaviour</w:t>
      </w:r>
      <w:r w:rsidR="003A1370">
        <w:rPr>
          <w:rFonts w:cs="Arial"/>
        </w:rPr>
        <w:t>.</w:t>
      </w:r>
    </w:p>
    <w:p w14:paraId="0CBD4292" w14:textId="77777777" w:rsidR="00DB264F" w:rsidRDefault="00DB264F" w:rsidP="0050431D">
      <w:pPr>
        <w:pStyle w:val="ListParagraph"/>
        <w:rPr>
          <w:rFonts w:cs="Arial"/>
          <w:b/>
        </w:rPr>
      </w:pPr>
    </w:p>
    <w:p w14:paraId="1D16F646" w14:textId="0C392EA8" w:rsidR="000578A4" w:rsidRDefault="00DB264F" w:rsidP="00983BC0">
      <w:pPr>
        <w:spacing w:after="0" w:line="250" w:lineRule="exact"/>
        <w:rPr>
          <w:rFonts w:cs="Arial"/>
          <w:b/>
          <w:bCs/>
        </w:rPr>
      </w:pPr>
      <w:r w:rsidRPr="00DB264F">
        <w:rPr>
          <w:rFonts w:cs="Arial"/>
          <w:b/>
          <w:bCs/>
        </w:rPr>
        <w:t xml:space="preserve">Ongoing </w:t>
      </w:r>
      <w:r w:rsidRPr="0050431D">
        <w:rPr>
          <w:rFonts w:cs="Arial"/>
          <w:b/>
          <w:bCs/>
        </w:rPr>
        <w:t>work and opportunities to engage</w:t>
      </w:r>
      <w:r w:rsidR="0061142C">
        <w:rPr>
          <w:rFonts w:cs="Arial"/>
          <w:b/>
          <w:bCs/>
        </w:rPr>
        <w:t xml:space="preserve"> and extra considerations.</w:t>
      </w:r>
    </w:p>
    <w:p w14:paraId="350984BB" w14:textId="07B55AEA" w:rsidR="00DB264F" w:rsidRDefault="00DB264F" w:rsidP="00983BC0">
      <w:pPr>
        <w:spacing w:after="0" w:line="250" w:lineRule="exact"/>
        <w:rPr>
          <w:rFonts w:cs="Arial"/>
          <w:b/>
          <w:bCs/>
        </w:rPr>
      </w:pPr>
    </w:p>
    <w:p w14:paraId="536D83E5" w14:textId="7B92B695" w:rsidR="00DB264F" w:rsidRDefault="0020713D" w:rsidP="00983BC0">
      <w:pPr>
        <w:spacing w:after="0" w:line="250" w:lineRule="exact"/>
        <w:rPr>
          <w:rFonts w:cs="Arial"/>
        </w:rPr>
      </w:pPr>
      <w:r>
        <w:rPr>
          <w:rFonts w:cs="Arial"/>
        </w:rPr>
        <w:t xml:space="preserve">As well as </w:t>
      </w:r>
      <w:r w:rsidR="0072175E">
        <w:rPr>
          <w:rFonts w:cs="Arial"/>
        </w:rPr>
        <w:t xml:space="preserve">the existing work and recommendations discussed above, we would be happy to engage with DWP on our ongoing work as it is published, including: </w:t>
      </w:r>
    </w:p>
    <w:p w14:paraId="46735C9A" w14:textId="77777777" w:rsidR="004B6C3B" w:rsidRDefault="004B6C3B" w:rsidP="00983BC0">
      <w:pPr>
        <w:spacing w:after="0" w:line="250" w:lineRule="exact"/>
        <w:rPr>
          <w:rFonts w:cs="Arial"/>
        </w:rPr>
      </w:pPr>
    </w:p>
    <w:p w14:paraId="78D3E704" w14:textId="6AC11A17" w:rsidR="0020713D" w:rsidRDefault="00E014A9" w:rsidP="0020713D">
      <w:pPr>
        <w:pStyle w:val="ListParagraph"/>
        <w:numPr>
          <w:ilvl w:val="0"/>
          <w:numId w:val="26"/>
        </w:numPr>
        <w:spacing w:after="0" w:line="250" w:lineRule="exact"/>
        <w:rPr>
          <w:rFonts w:cs="Arial"/>
        </w:rPr>
      </w:pPr>
      <w:r>
        <w:rPr>
          <w:rFonts w:cs="Arial"/>
        </w:rPr>
        <w:t>Further</w:t>
      </w:r>
      <w:r w:rsidR="0020713D">
        <w:rPr>
          <w:rFonts w:cs="Arial"/>
        </w:rPr>
        <w:t xml:space="preserve"> analysis and recommendations from our YouGov study</w:t>
      </w:r>
      <w:r w:rsidR="008C0EE0">
        <w:rPr>
          <w:rFonts w:cs="Arial"/>
        </w:rPr>
        <w:t xml:space="preserve"> (Available later this year) </w:t>
      </w:r>
    </w:p>
    <w:p w14:paraId="1D59D0B4" w14:textId="49EF1EBF" w:rsidR="0020713D" w:rsidRDefault="00FB50D1" w:rsidP="0020713D">
      <w:pPr>
        <w:pStyle w:val="ListParagraph"/>
        <w:numPr>
          <w:ilvl w:val="0"/>
          <w:numId w:val="26"/>
        </w:numPr>
        <w:spacing w:after="0" w:line="250" w:lineRule="exact"/>
        <w:rPr>
          <w:rFonts w:cs="Arial"/>
        </w:rPr>
      </w:pPr>
      <w:r>
        <w:rPr>
          <w:rFonts w:cs="Arial"/>
        </w:rPr>
        <w:t>Continuing</w:t>
      </w:r>
      <w:r w:rsidR="008C0EE0">
        <w:rPr>
          <w:rFonts w:cs="Arial"/>
        </w:rPr>
        <w:t xml:space="preserve"> our work on the Great Risk Transfer, the IFoA are working</w:t>
      </w:r>
      <w:r w:rsidR="0020713D">
        <w:rPr>
          <w:rFonts w:cs="Arial"/>
        </w:rPr>
        <w:t xml:space="preserve"> in partnership with the David Hume Institut</w:t>
      </w:r>
      <w:r w:rsidR="008C0EE0">
        <w:rPr>
          <w:rFonts w:cs="Arial"/>
        </w:rPr>
        <w:t>e</w:t>
      </w:r>
      <w:r w:rsidR="008C0EE0">
        <w:rPr>
          <w:rStyle w:val="FootnoteReference"/>
          <w:rFonts w:cs="Arial"/>
        </w:rPr>
        <w:footnoteReference w:id="7"/>
      </w:r>
      <w:r w:rsidR="008C0EE0">
        <w:rPr>
          <w:rFonts w:cs="Arial"/>
        </w:rPr>
        <w:t xml:space="preserve"> to </w:t>
      </w:r>
      <w:r w:rsidR="008C0EE0" w:rsidRPr="008C0EE0">
        <w:rPr>
          <w:rFonts w:cs="Arial"/>
        </w:rPr>
        <w:t xml:space="preserve">better understand </w:t>
      </w:r>
      <w:r w:rsidR="008C0EE0">
        <w:rPr>
          <w:rFonts w:cs="Arial"/>
        </w:rPr>
        <w:t>individuals’ and groups’</w:t>
      </w:r>
      <w:r w:rsidR="008C0EE0" w:rsidRPr="008C0EE0">
        <w:rPr>
          <w:rFonts w:cs="Arial"/>
        </w:rPr>
        <w:t xml:space="preserve"> perceptions of the risks they face</w:t>
      </w:r>
      <w:r w:rsidR="008C0EE0">
        <w:rPr>
          <w:rFonts w:cs="Arial"/>
        </w:rPr>
        <w:t xml:space="preserve">, </w:t>
      </w:r>
      <w:r w:rsidR="008C0EE0" w:rsidRPr="008C0EE0">
        <w:rPr>
          <w:rFonts w:cs="Arial"/>
        </w:rPr>
        <w:t xml:space="preserve">what helps people when they make decisions and practical steps to mitigate </w:t>
      </w:r>
      <w:r w:rsidR="008C0EE0">
        <w:rPr>
          <w:rFonts w:cs="Arial"/>
        </w:rPr>
        <w:t xml:space="preserve">their </w:t>
      </w:r>
      <w:r w:rsidR="008C0EE0" w:rsidRPr="008C0EE0">
        <w:rPr>
          <w:rFonts w:cs="Arial"/>
        </w:rPr>
        <w:t>risks</w:t>
      </w:r>
      <w:r w:rsidR="008C0EE0">
        <w:rPr>
          <w:rFonts w:cs="Arial"/>
        </w:rPr>
        <w:t xml:space="preserve">. </w:t>
      </w:r>
      <w:r>
        <w:rPr>
          <w:rFonts w:cs="Arial"/>
        </w:rPr>
        <w:t xml:space="preserve">This will include pensions and put this in a wider context. </w:t>
      </w:r>
      <w:r w:rsidR="008C0EE0">
        <w:rPr>
          <w:rFonts w:cs="Arial"/>
        </w:rPr>
        <w:t>(Available later this year)</w:t>
      </w:r>
    </w:p>
    <w:p w14:paraId="012EB66A" w14:textId="408224D5" w:rsidR="0061142C" w:rsidRDefault="008C0EE0" w:rsidP="0061142C">
      <w:pPr>
        <w:pStyle w:val="ListParagraph"/>
        <w:numPr>
          <w:ilvl w:val="0"/>
          <w:numId w:val="26"/>
        </w:numPr>
        <w:spacing w:after="0" w:line="250" w:lineRule="exact"/>
        <w:rPr>
          <w:rFonts w:cs="Arial"/>
        </w:rPr>
      </w:pPr>
      <w:r>
        <w:rPr>
          <w:rFonts w:cs="Arial"/>
        </w:rPr>
        <w:t xml:space="preserve">Further research regarding </w:t>
      </w:r>
      <w:r w:rsidR="0072175E">
        <w:rPr>
          <w:rFonts w:cs="Arial"/>
        </w:rPr>
        <w:t>Pooled Annuity Funds (modern tontines)</w:t>
      </w:r>
      <w:r w:rsidR="002E01F7">
        <w:rPr>
          <w:rFonts w:cs="Arial"/>
        </w:rPr>
        <w:t xml:space="preserve"> and comparisons to outcomes of other pension vehicles</w:t>
      </w:r>
    </w:p>
    <w:p w14:paraId="5BCBDBB0" w14:textId="792377CE" w:rsidR="0061142C" w:rsidRPr="0061142C" w:rsidRDefault="0061142C" w:rsidP="0061142C">
      <w:pPr>
        <w:pStyle w:val="ListParagraph"/>
        <w:numPr>
          <w:ilvl w:val="0"/>
          <w:numId w:val="26"/>
        </w:numPr>
        <w:spacing w:after="0" w:line="250" w:lineRule="exact"/>
        <w:rPr>
          <w:rFonts w:cs="Arial"/>
        </w:rPr>
      </w:pPr>
      <w:r>
        <w:rPr>
          <w:rFonts w:cs="Arial"/>
        </w:rPr>
        <w:t>IFoA work on decumulation pathways, including a forthcoming paper from the IFOA decumulation pathways working group</w:t>
      </w:r>
    </w:p>
    <w:p w14:paraId="06844C1A" w14:textId="77777777" w:rsidR="0072175E" w:rsidRPr="002E01F7" w:rsidRDefault="0072175E" w:rsidP="0050431D">
      <w:pPr>
        <w:spacing w:after="0" w:line="250" w:lineRule="exact"/>
        <w:rPr>
          <w:rFonts w:cs="Arial"/>
        </w:rPr>
      </w:pPr>
    </w:p>
    <w:p w14:paraId="03C25FE2" w14:textId="08BF9D1B" w:rsidR="008C0EE0" w:rsidRDefault="002E01F7" w:rsidP="008C0EE0">
      <w:pPr>
        <w:spacing w:after="0" w:line="250" w:lineRule="exact"/>
        <w:rPr>
          <w:rFonts w:cs="Arial"/>
        </w:rPr>
      </w:pPr>
      <w:r>
        <w:rPr>
          <w:rFonts w:cs="Arial"/>
        </w:rPr>
        <w:t>Default decumulation pathways</w:t>
      </w:r>
      <w:r w:rsidR="00B9292B">
        <w:rPr>
          <w:rFonts w:cs="Arial"/>
        </w:rPr>
        <w:t xml:space="preserve">, </w:t>
      </w:r>
      <w:r w:rsidR="001636ED">
        <w:rPr>
          <w:rFonts w:cs="Arial"/>
        </w:rPr>
        <w:t xml:space="preserve">adequacy of contributions, </w:t>
      </w:r>
      <w:r w:rsidR="00B9292B">
        <w:rPr>
          <w:rFonts w:cs="Arial"/>
        </w:rPr>
        <w:t xml:space="preserve">CDC and Pooled Annuity Funds are examples of areas where actuarial expertise is particularly relevant and </w:t>
      </w:r>
      <w:r w:rsidR="00344613">
        <w:rPr>
          <w:rFonts w:cs="Arial"/>
        </w:rPr>
        <w:t xml:space="preserve">are among the topics where </w:t>
      </w:r>
      <w:r w:rsidR="00B9292B">
        <w:rPr>
          <w:rFonts w:cs="Arial"/>
        </w:rPr>
        <w:t>we would be keen to engage further.</w:t>
      </w:r>
    </w:p>
    <w:p w14:paraId="39FABF85" w14:textId="63921952" w:rsidR="0061142C" w:rsidRDefault="0061142C" w:rsidP="008C0EE0">
      <w:pPr>
        <w:spacing w:after="0" w:line="250" w:lineRule="exact"/>
        <w:rPr>
          <w:rFonts w:cs="Arial"/>
        </w:rPr>
      </w:pPr>
    </w:p>
    <w:p w14:paraId="6E297A1F" w14:textId="5BC0C08E" w:rsidR="00DA375C" w:rsidRDefault="0061142C" w:rsidP="00DA375C">
      <w:pPr>
        <w:spacing w:after="0" w:line="250" w:lineRule="exact"/>
        <w:rPr>
          <w:rFonts w:cs="Arial"/>
        </w:rPr>
      </w:pPr>
      <w:r w:rsidRPr="00DA375C">
        <w:rPr>
          <w:rFonts w:cs="Arial"/>
          <w:b/>
          <w:bCs/>
        </w:rPr>
        <w:t>Additionally, the IFoA would like to draw attention to the impact of</w:t>
      </w:r>
      <w:r w:rsidR="00DA375C" w:rsidRPr="00DA375C">
        <w:rPr>
          <w:rFonts w:cs="Arial"/>
          <w:b/>
          <w:bCs/>
        </w:rPr>
        <w:t xml:space="preserve"> the current high inflationary environment on potential pension decision making in the UK</w:t>
      </w:r>
      <w:r w:rsidR="00DA375C">
        <w:rPr>
          <w:rFonts w:cs="Arial"/>
        </w:rPr>
        <w:t xml:space="preserve">. </w:t>
      </w:r>
      <w:r>
        <w:rPr>
          <w:rFonts w:cs="Arial"/>
        </w:rPr>
        <w:t xml:space="preserve"> </w:t>
      </w:r>
      <w:r w:rsidR="00DA375C">
        <w:rPr>
          <w:rFonts w:cs="Arial"/>
        </w:rPr>
        <w:t>D</w:t>
      </w:r>
      <w:r w:rsidR="00DA375C" w:rsidRPr="00DA375C">
        <w:rPr>
          <w:rFonts w:cs="Arial"/>
        </w:rPr>
        <w:t>ecision making about retiring</w:t>
      </w:r>
      <w:r w:rsidR="00DA375C">
        <w:rPr>
          <w:rFonts w:cs="Arial"/>
        </w:rPr>
        <w:t xml:space="preserve">, for example, </w:t>
      </w:r>
      <w:r w:rsidR="00DA375C" w:rsidRPr="00DA375C">
        <w:rPr>
          <w:rFonts w:cs="Arial"/>
        </w:rPr>
        <w:t>delaying retirement to benefit from additional deferred revaluation</w:t>
      </w:r>
      <w:r w:rsidR="00DA375C">
        <w:rPr>
          <w:rFonts w:cs="Arial"/>
        </w:rPr>
        <w:t xml:space="preserve">, may not be something that members are able to </w:t>
      </w:r>
      <w:r w:rsidR="007342C7">
        <w:rPr>
          <w:rFonts w:cs="Arial"/>
        </w:rPr>
        <w:t>consider</w:t>
      </w:r>
      <w:r w:rsidR="00DA375C">
        <w:rPr>
          <w:rFonts w:cs="Arial"/>
        </w:rPr>
        <w:t xml:space="preserve"> - other </w:t>
      </w:r>
      <w:r w:rsidR="007D1AA3">
        <w:rPr>
          <w:rFonts w:cs="Arial"/>
        </w:rPr>
        <w:t xml:space="preserve">immediate </w:t>
      </w:r>
      <w:r w:rsidR="00DA375C">
        <w:rPr>
          <w:rFonts w:cs="Arial"/>
        </w:rPr>
        <w:t>factors are more important.</w:t>
      </w:r>
    </w:p>
    <w:p w14:paraId="2DBD5AA0" w14:textId="77777777" w:rsidR="00DA375C" w:rsidRDefault="00DA375C" w:rsidP="00DA375C">
      <w:pPr>
        <w:spacing w:after="0" w:line="250" w:lineRule="exact"/>
        <w:rPr>
          <w:rFonts w:cs="Arial"/>
        </w:rPr>
      </w:pPr>
    </w:p>
    <w:p w14:paraId="011196B1" w14:textId="77777777" w:rsidR="007D1AA3" w:rsidRDefault="00DA375C" w:rsidP="00DA375C">
      <w:pPr>
        <w:spacing w:after="0" w:line="250" w:lineRule="exact"/>
        <w:rPr>
          <w:rFonts w:cs="Arial"/>
        </w:rPr>
      </w:pPr>
      <w:r>
        <w:rPr>
          <w:rFonts w:cs="Arial"/>
        </w:rPr>
        <w:t>W</w:t>
      </w:r>
      <w:r w:rsidRPr="00DA375C">
        <w:rPr>
          <w:rFonts w:cs="Arial"/>
        </w:rPr>
        <w:t xml:space="preserve">here </w:t>
      </w:r>
      <w:r>
        <w:rPr>
          <w:rFonts w:cs="Arial"/>
        </w:rPr>
        <w:t>people in the UK</w:t>
      </w:r>
      <w:r w:rsidRPr="00DA375C">
        <w:rPr>
          <w:rFonts w:cs="Arial"/>
        </w:rPr>
        <w:t xml:space="preserve"> buy annuities</w:t>
      </w:r>
      <w:r>
        <w:rPr>
          <w:rFonts w:cs="Arial"/>
        </w:rPr>
        <w:t>,</w:t>
      </w:r>
      <w:r w:rsidRPr="00DA375C">
        <w:rPr>
          <w:rFonts w:cs="Arial"/>
        </w:rPr>
        <w:t xml:space="preserve"> m</w:t>
      </w:r>
      <w:r>
        <w:rPr>
          <w:rFonts w:cs="Arial"/>
        </w:rPr>
        <w:t>any may</w:t>
      </w:r>
      <w:r w:rsidRPr="00DA375C">
        <w:rPr>
          <w:rFonts w:cs="Arial"/>
        </w:rPr>
        <w:t xml:space="preserve"> </w:t>
      </w:r>
      <w:r>
        <w:rPr>
          <w:rFonts w:cs="Arial"/>
        </w:rPr>
        <w:t>opt</w:t>
      </w:r>
      <w:r w:rsidRPr="00DA375C">
        <w:rPr>
          <w:rFonts w:cs="Arial"/>
        </w:rPr>
        <w:t xml:space="preserve"> for level </w:t>
      </w:r>
      <w:r>
        <w:rPr>
          <w:rFonts w:cs="Arial"/>
        </w:rPr>
        <w:t>products that</w:t>
      </w:r>
      <w:r w:rsidRPr="00DA375C">
        <w:rPr>
          <w:rFonts w:cs="Arial"/>
        </w:rPr>
        <w:t xml:space="preserve"> won’t have any inflation protection or</w:t>
      </w:r>
      <w:r w:rsidR="007342C7">
        <w:rPr>
          <w:rFonts w:cs="Arial"/>
        </w:rPr>
        <w:t>,</w:t>
      </w:r>
      <w:r w:rsidRPr="00DA375C">
        <w:rPr>
          <w:rFonts w:cs="Arial"/>
        </w:rPr>
        <w:t xml:space="preserve"> where they do</w:t>
      </w:r>
      <w:r>
        <w:rPr>
          <w:rFonts w:cs="Arial"/>
        </w:rPr>
        <w:t>,</w:t>
      </w:r>
      <w:r w:rsidRPr="00DA375C">
        <w:rPr>
          <w:rFonts w:cs="Arial"/>
        </w:rPr>
        <w:t xml:space="preserve"> </w:t>
      </w:r>
      <w:r>
        <w:rPr>
          <w:rFonts w:cs="Arial"/>
        </w:rPr>
        <w:t>it may be</w:t>
      </w:r>
      <w:r w:rsidRPr="00DA375C">
        <w:rPr>
          <w:rFonts w:cs="Arial"/>
        </w:rPr>
        <w:t xml:space="preserve"> limited (as it will be in most DB schemes relative to current rates of inflation). </w:t>
      </w:r>
      <w:r>
        <w:rPr>
          <w:rFonts w:cs="Arial"/>
        </w:rPr>
        <w:t>The issue of high inflation</w:t>
      </w:r>
      <w:r w:rsidR="007342C7">
        <w:rPr>
          <w:rFonts w:cs="Arial"/>
        </w:rPr>
        <w:t>, while</w:t>
      </w:r>
      <w:r>
        <w:rPr>
          <w:rFonts w:cs="Arial"/>
        </w:rPr>
        <w:t xml:space="preserve"> a problem in and of </w:t>
      </w:r>
      <w:r w:rsidR="007342C7">
        <w:rPr>
          <w:rFonts w:cs="Arial"/>
        </w:rPr>
        <w:t>itself</w:t>
      </w:r>
      <w:r>
        <w:rPr>
          <w:rFonts w:cs="Arial"/>
        </w:rPr>
        <w:t xml:space="preserve">, </w:t>
      </w:r>
      <w:r w:rsidR="007342C7">
        <w:rPr>
          <w:rFonts w:cs="Arial"/>
        </w:rPr>
        <w:t xml:space="preserve">may also be </w:t>
      </w:r>
      <w:r>
        <w:rPr>
          <w:rFonts w:cs="Arial"/>
        </w:rPr>
        <w:t xml:space="preserve">highlighting </w:t>
      </w:r>
      <w:r w:rsidRPr="00DA375C">
        <w:rPr>
          <w:rFonts w:cs="Arial"/>
        </w:rPr>
        <w:t xml:space="preserve">other issues </w:t>
      </w:r>
      <w:r>
        <w:rPr>
          <w:rFonts w:cs="Arial"/>
        </w:rPr>
        <w:t xml:space="preserve">that may be deteriorating </w:t>
      </w:r>
      <w:r w:rsidR="007342C7">
        <w:rPr>
          <w:rFonts w:cs="Arial"/>
        </w:rPr>
        <w:t>the position of pension savers in the UK. It may be that w</w:t>
      </w:r>
      <w:r w:rsidRPr="00DA375C">
        <w:rPr>
          <w:rFonts w:cs="Arial"/>
        </w:rPr>
        <w:t>hile people are concerned about inflation, most don’t have the luxury of doing anything about it (</w:t>
      </w:r>
      <w:r w:rsidR="007D1AA3" w:rsidRPr="00DA375C">
        <w:rPr>
          <w:rFonts w:cs="Arial"/>
        </w:rPr>
        <w:t>e.g.,</w:t>
      </w:r>
      <w:r w:rsidRPr="00DA375C">
        <w:rPr>
          <w:rFonts w:cs="Arial"/>
        </w:rPr>
        <w:t xml:space="preserve"> if they only have a small DC </w:t>
      </w:r>
      <w:r w:rsidR="007D1AA3" w:rsidRPr="00DA375C">
        <w:rPr>
          <w:rFonts w:cs="Arial"/>
        </w:rPr>
        <w:t>pot,</w:t>
      </w:r>
      <w:r w:rsidRPr="00DA375C">
        <w:rPr>
          <w:rFonts w:cs="Arial"/>
        </w:rPr>
        <w:t xml:space="preserve"> they may still choose to buy a small level annuity) and</w:t>
      </w:r>
      <w:r w:rsidR="007342C7">
        <w:rPr>
          <w:rFonts w:cs="Arial"/>
        </w:rPr>
        <w:t>,</w:t>
      </w:r>
      <w:r w:rsidRPr="00DA375C">
        <w:rPr>
          <w:rFonts w:cs="Arial"/>
        </w:rPr>
        <w:t xml:space="preserve"> </w:t>
      </w:r>
      <w:r w:rsidR="007342C7">
        <w:rPr>
          <w:rFonts w:cs="Arial"/>
        </w:rPr>
        <w:t xml:space="preserve">this </w:t>
      </w:r>
      <w:r w:rsidR="007D1AA3">
        <w:rPr>
          <w:rFonts w:cs="Arial"/>
        </w:rPr>
        <w:t xml:space="preserve">can </w:t>
      </w:r>
      <w:r w:rsidR="007342C7">
        <w:rPr>
          <w:rFonts w:cs="Arial"/>
        </w:rPr>
        <w:t>make</w:t>
      </w:r>
      <w:r w:rsidRPr="00DA375C">
        <w:rPr>
          <w:rFonts w:cs="Arial"/>
        </w:rPr>
        <w:t xml:space="preserve"> low pensions savings even more inadequate. At the same time, </w:t>
      </w:r>
      <w:r w:rsidR="007342C7">
        <w:rPr>
          <w:rFonts w:cs="Arial"/>
        </w:rPr>
        <w:t xml:space="preserve">it will remain the case that </w:t>
      </w:r>
      <w:r w:rsidRPr="00DA375C">
        <w:rPr>
          <w:rFonts w:cs="Arial"/>
        </w:rPr>
        <w:t>people are more likely to reduce pensions savings if they can’t afford to continue with them due to higher cost of living.</w:t>
      </w:r>
    </w:p>
    <w:p w14:paraId="61B71680" w14:textId="44139660" w:rsidR="007342C7" w:rsidRDefault="007342C7" w:rsidP="00DA375C">
      <w:pPr>
        <w:spacing w:after="0" w:line="250" w:lineRule="exact"/>
        <w:rPr>
          <w:rFonts w:cs="Arial"/>
        </w:rPr>
      </w:pPr>
      <w:r>
        <w:rPr>
          <w:rFonts w:cs="Arial"/>
        </w:rPr>
        <w:lastRenderedPageBreak/>
        <w:t>The IFoA acknowledges that the above forms only part of</w:t>
      </w:r>
      <w:r w:rsidR="007D1AA3">
        <w:rPr>
          <w:rFonts w:cs="Arial"/>
        </w:rPr>
        <w:t xml:space="preserve"> the story that may be unfolding</w:t>
      </w:r>
      <w:r>
        <w:rPr>
          <w:rFonts w:cs="Arial"/>
        </w:rPr>
        <w:t xml:space="preserve"> for pension savers</w:t>
      </w:r>
      <w:r w:rsidR="007D1AA3">
        <w:rPr>
          <w:rFonts w:cs="Arial"/>
        </w:rPr>
        <w:t xml:space="preserve"> in the UK</w:t>
      </w:r>
      <w:r>
        <w:rPr>
          <w:rFonts w:cs="Arial"/>
        </w:rPr>
        <w:t xml:space="preserve"> </w:t>
      </w:r>
      <w:r w:rsidR="007D1AA3">
        <w:rPr>
          <w:rFonts w:cs="Arial"/>
        </w:rPr>
        <w:t>due to the impact of</w:t>
      </w:r>
      <w:r>
        <w:rPr>
          <w:rFonts w:cs="Arial"/>
        </w:rPr>
        <w:t xml:space="preserve"> high inflation. Other issues like general inflation proofing and partial referral in terms of drawdown are other examples </w:t>
      </w:r>
      <w:r w:rsidR="007D1AA3">
        <w:rPr>
          <w:rFonts w:cs="Arial"/>
        </w:rPr>
        <w:t>that</w:t>
      </w:r>
      <w:r>
        <w:rPr>
          <w:rFonts w:cs="Arial"/>
        </w:rPr>
        <w:t xml:space="preserve"> may require further investigation. </w:t>
      </w:r>
    </w:p>
    <w:p w14:paraId="0C636605" w14:textId="5C4D87CF" w:rsidR="007342C7" w:rsidRDefault="007342C7" w:rsidP="00DA375C">
      <w:pPr>
        <w:spacing w:after="0" w:line="250" w:lineRule="exact"/>
        <w:rPr>
          <w:rFonts w:cs="Arial"/>
        </w:rPr>
      </w:pPr>
    </w:p>
    <w:p w14:paraId="256000AB" w14:textId="3A03D1C4" w:rsidR="007342C7" w:rsidRDefault="007342C7" w:rsidP="00DA375C">
      <w:pPr>
        <w:spacing w:after="0" w:line="250" w:lineRule="exact"/>
        <w:rPr>
          <w:rFonts w:cs="Arial"/>
        </w:rPr>
      </w:pPr>
      <w:r>
        <w:rPr>
          <w:rFonts w:cs="Arial"/>
        </w:rPr>
        <w:t xml:space="preserve">The IFoA is looking at this issue through a range of working groups and would be happy to engage with DWP in due course. </w:t>
      </w:r>
    </w:p>
    <w:p w14:paraId="3F932C7D" w14:textId="0C1E7A8D" w:rsidR="007342C7" w:rsidRDefault="007342C7" w:rsidP="00DA375C">
      <w:pPr>
        <w:spacing w:after="0" w:line="250" w:lineRule="exact"/>
        <w:rPr>
          <w:rFonts w:cs="Arial"/>
        </w:rPr>
      </w:pPr>
    </w:p>
    <w:p w14:paraId="08501D1C" w14:textId="04798342" w:rsidR="007342C7" w:rsidRDefault="007342C7" w:rsidP="00DA375C">
      <w:pPr>
        <w:spacing w:after="0" w:line="250" w:lineRule="exact"/>
        <w:rPr>
          <w:rFonts w:cs="Arial"/>
        </w:rPr>
      </w:pPr>
    </w:p>
    <w:p w14:paraId="44AD2469" w14:textId="4FB72BF4" w:rsidR="007342C7" w:rsidRPr="00DA375C" w:rsidRDefault="007342C7" w:rsidP="00DA375C">
      <w:pPr>
        <w:spacing w:after="0" w:line="250" w:lineRule="exact"/>
        <w:rPr>
          <w:rFonts w:cs="Arial"/>
        </w:rPr>
      </w:pPr>
      <w:r>
        <w:rPr>
          <w:rFonts w:cs="Arial"/>
        </w:rPr>
        <w:t>END.</w:t>
      </w:r>
    </w:p>
    <w:p w14:paraId="76E24DFB" w14:textId="53636D86" w:rsidR="0061142C" w:rsidRPr="008C0EE0" w:rsidRDefault="0061142C" w:rsidP="008C0EE0">
      <w:pPr>
        <w:spacing w:after="0" w:line="250" w:lineRule="exact"/>
        <w:rPr>
          <w:rFonts w:cs="Arial"/>
        </w:rPr>
      </w:pPr>
    </w:p>
    <w:sectPr w:rsidR="0061142C" w:rsidRPr="008C0EE0" w:rsidSect="00990DEA">
      <w:headerReference w:type="default" r:id="rId17"/>
      <w:footerReference w:type="default" r:id="rId18"/>
      <w:headerReference w:type="first" r:id="rId19"/>
      <w:footerReference w:type="first" r:id="rId20"/>
      <w:pgSz w:w="11906" w:h="16838"/>
      <w:pgMar w:top="1440" w:right="1134" w:bottom="1440"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CE96" w14:textId="77777777" w:rsidR="00EF4DAF" w:rsidRDefault="00EF4DAF" w:rsidP="00B652E6">
      <w:pPr>
        <w:spacing w:after="0" w:line="240" w:lineRule="auto"/>
      </w:pPr>
      <w:r>
        <w:separator/>
      </w:r>
    </w:p>
  </w:endnote>
  <w:endnote w:type="continuationSeparator" w:id="0">
    <w:p w14:paraId="486A3F7B" w14:textId="77777777" w:rsidR="00EF4DAF" w:rsidRDefault="00EF4DAF"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te">
    <w:altName w:val="Calibri"/>
    <w:panose1 w:val="00000000000000000000"/>
    <w:charset w:val="00"/>
    <w:family w:val="modern"/>
    <w:notTrueType/>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59B5" w14:textId="77777777" w:rsidR="00B652E6" w:rsidRDefault="009C6C32">
    <w:pPr>
      <w:pStyle w:val="Footer"/>
    </w:pPr>
    <w:r>
      <w:rPr>
        <w:noProof/>
        <w:lang w:eastAsia="en-GB"/>
      </w:rPr>
      <mc:AlternateContent>
        <mc:Choice Requires="wps">
          <w:drawing>
            <wp:anchor distT="0" distB="0" distL="114300" distR="114300" simplePos="0" relativeHeight="251697152" behindDoc="0" locked="0" layoutInCell="1" allowOverlap="1" wp14:anchorId="10EBB755" wp14:editId="3DE5055B">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2D140A"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" strokecolor="#cda115 [3044]" strokeweight="1pt"/>
          </w:pict>
        </mc:Fallback>
      </mc:AlternateContent>
    </w:r>
    <w:r>
      <w:rPr>
        <w:noProof/>
        <w:lang w:eastAsia="en-GB"/>
      </w:rPr>
      <mc:AlternateContent>
        <mc:Choice Requires="wps">
          <w:drawing>
            <wp:anchor distT="0" distB="0" distL="114300" distR="114300" simplePos="0" relativeHeight="251698176" behindDoc="0" locked="0" layoutInCell="1" allowOverlap="1" wp14:anchorId="160B46DB" wp14:editId="49AA0E62">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14:paraId="3E10048E" w14:textId="77777777"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B46DB" id="_x0000_t202" coordsize="21600,21600" o:spt="202" path="m,l,21600r21600,l21600,xe">
              <v:stroke joinstyle="miter"/>
              <v:path gradientshapeok="t" o:connecttype="rect"/>
            </v:shapetype>
            <v:shape id="Text Box 13" o:spid="_x0000_s1026" type="#_x0000_t202" style="position:absolute;margin-left:368.55pt;margin-top:10.55pt;width:114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" fillcolor="white [3201]" stroked="f" strokeweight=".5pt">
              <v:textbox inset="0,,0">
                <w:txbxContent>
                  <w:p w14:paraId="3E10048E" w14:textId="77777777"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14:paraId="5F6A4DC4" w14:textId="35659E0B" w:rsidR="00B652E6" w:rsidRPr="009C6C32" w:rsidRDefault="00734464"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543642">
      <w:rPr>
        <w:rFonts w:cs="Arial"/>
        <w:noProof/>
        <w:sz w:val="18"/>
        <w:szCs w:val="18"/>
      </w:rPr>
      <w:t>2</w:t>
    </w:r>
    <w:r w:rsidRPr="009C6C32">
      <w:rPr>
        <w:rFonts w:cs="Arial"/>
        <w:noProof/>
        <w:sz w:val="18"/>
        <w:szCs w:val="18"/>
      </w:rPr>
      <w:fldChar w:fldCharType="end"/>
    </w:r>
    <w:r w:rsidR="002F15BC" w:rsidRPr="009C6C32">
      <w:rPr>
        <w:rFonts w:cs="Arial"/>
        <w:sz w:val="18"/>
        <w:szCs w:val="18"/>
      </w:rPr>
      <w:tab/>
    </w:r>
    <w:r w:rsidR="002F15BC" w:rsidRPr="009C6C32">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4A58" w14:textId="77777777" w:rsidR="00990DEA" w:rsidRDefault="00990DEA">
    <w:pPr>
      <w:pStyle w:val="Footer"/>
    </w:pPr>
    <w:r>
      <w:rPr>
        <w:noProof/>
        <w:lang w:eastAsia="en-GB"/>
      </w:rPr>
      <mc:AlternateContent>
        <mc:Choice Requires="wps">
          <w:drawing>
            <wp:anchor distT="0" distB="0" distL="114300" distR="114300" simplePos="0" relativeHeight="251700224" behindDoc="0" locked="1" layoutInCell="1" allowOverlap="1" wp14:anchorId="1D111F54" wp14:editId="34EB9589">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2D234" id="Straight Connector 1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" strokecolor="#cda115 [3044]" strokeweight="1pt">
              <w10:wrap anchory="page"/>
              <w10:anchorlock/>
            </v:line>
          </w:pict>
        </mc:Fallback>
      </mc:AlternateContent>
    </w:r>
  </w:p>
  <w:p w14:paraId="14A2C479" w14:textId="77777777" w:rsidR="00990DEA" w:rsidRDefault="00990DEA">
    <w:pPr>
      <w:pStyle w:val="Footer"/>
    </w:pPr>
    <w:r>
      <w:rPr>
        <w:noProof/>
        <w:lang w:eastAsia="en-GB"/>
      </w:rPr>
      <mc:AlternateContent>
        <mc:Choice Requires="wps">
          <w:drawing>
            <wp:anchor distT="0" distB="0" distL="114300" distR="114300" simplePos="0" relativeHeight="251703296" behindDoc="0" locked="1" layoutInCell="1" allowOverlap="1" wp14:anchorId="4CD46F34" wp14:editId="0CBAEDD8">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14:paraId="5BDA313D"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w:t>
                          </w:r>
                          <w:proofErr w:type="spellStart"/>
                          <w:r w:rsidRPr="009D752A">
                            <w:rPr>
                              <w:rFonts w:cs="Arial"/>
                              <w:sz w:val="15"/>
                              <w:szCs w:val="15"/>
                            </w:rPr>
                            <w:t>Jianwai</w:t>
                          </w:r>
                          <w:proofErr w:type="spellEnd"/>
                          <w:r w:rsidRPr="009D752A">
                            <w:rPr>
                              <w:rFonts w:cs="Arial"/>
                              <w:sz w:val="15"/>
                              <w:szCs w:val="15"/>
                            </w:rPr>
                            <w:t xml:space="preserve"> Avenue · Beijing · China 100004 · </w:t>
                          </w:r>
                          <w:r w:rsidRPr="009D752A">
                            <w:rPr>
                              <w:rFonts w:cs="Arial"/>
                              <w:b/>
                              <w:bCs/>
                              <w:sz w:val="15"/>
                              <w:szCs w:val="15"/>
                            </w:rPr>
                            <w:t>Tel</w:t>
                          </w:r>
                          <w:r w:rsidRPr="009D752A">
                            <w:rPr>
                              <w:rFonts w:cs="Arial"/>
                              <w:sz w:val="15"/>
                              <w:szCs w:val="15"/>
                            </w:rPr>
                            <w:t>: +86 (10) 6535 0248</w:t>
                          </w:r>
                        </w:p>
                        <w:p w14:paraId="5C9FDF3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7C43ADC0"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4B6D9E5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4760C96C"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671C0F32" w14:textId="77777777"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w:t>
                          </w:r>
                          <w:proofErr w:type="spellStart"/>
                          <w:r w:rsidRPr="009D752A">
                            <w:rPr>
                              <w:rFonts w:cs="Arial"/>
                              <w:sz w:val="15"/>
                              <w:szCs w:val="15"/>
                            </w:rPr>
                            <w:t>Tras</w:t>
                          </w:r>
                          <w:proofErr w:type="spellEnd"/>
                          <w:r w:rsidRPr="009D752A">
                            <w:rPr>
                              <w:rFonts w:cs="Arial"/>
                              <w:sz w:val="15"/>
                              <w:szCs w:val="15"/>
                            </w:rPr>
                            <w:t xml:space="preserve"> Street · #07-05 Lian </w:t>
                          </w:r>
                          <w:proofErr w:type="spellStart"/>
                          <w:r w:rsidRPr="009D752A">
                            <w:rPr>
                              <w:rFonts w:cs="Arial"/>
                              <w:sz w:val="15"/>
                              <w:szCs w:val="15"/>
                            </w:rPr>
                            <w:t>Huat</w:t>
                          </w:r>
                          <w:proofErr w:type="spellEnd"/>
                          <w:r w:rsidRPr="009D752A">
                            <w:rPr>
                              <w:rFonts w:cs="Arial"/>
                              <w:sz w:val="15"/>
                              <w:szCs w:val="15"/>
                            </w:rPr>
                            <w:t xml:space="preserve">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D46F34" id="_x0000_t202" coordsize="21600,21600" o:spt="202" path="m,l,21600r21600,l21600,xe">
              <v:stroke joinstyle="miter"/>
              <v:path gradientshapeok="t" o:connecttype="rect"/>
            </v:shapetype>
            <v:shape id="Text Box 1" o:spid="_x0000_s1030" type="#_x0000_t202" style="position:absolute;margin-left:-.45pt;margin-top:725.95pt;width:481.5pt;height: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" filled="f" stroked="f" strokeweight=".5pt">
              <v:textbox style="mso-fit-shape-to-text:t" inset="0,,0">
                <w:txbxContent>
                  <w:p w14:paraId="5BDA313D"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w:t>
                    </w:r>
                    <w:proofErr w:type="spellStart"/>
                    <w:r w:rsidRPr="009D752A">
                      <w:rPr>
                        <w:rFonts w:cs="Arial"/>
                        <w:sz w:val="15"/>
                        <w:szCs w:val="15"/>
                      </w:rPr>
                      <w:t>Jianwai</w:t>
                    </w:r>
                    <w:proofErr w:type="spellEnd"/>
                    <w:r w:rsidRPr="009D752A">
                      <w:rPr>
                        <w:rFonts w:cs="Arial"/>
                        <w:sz w:val="15"/>
                        <w:szCs w:val="15"/>
                      </w:rPr>
                      <w:t xml:space="preserve"> Avenue · Beijing · China 100004 · </w:t>
                    </w:r>
                    <w:r w:rsidRPr="009D752A">
                      <w:rPr>
                        <w:rFonts w:cs="Arial"/>
                        <w:b/>
                        <w:bCs/>
                        <w:sz w:val="15"/>
                        <w:szCs w:val="15"/>
                      </w:rPr>
                      <w:t>Tel</w:t>
                    </w:r>
                    <w:r w:rsidRPr="009D752A">
                      <w:rPr>
                        <w:rFonts w:cs="Arial"/>
                        <w:sz w:val="15"/>
                        <w:szCs w:val="15"/>
                      </w:rPr>
                      <w:t>: +86 (10) 6535 0248</w:t>
                    </w:r>
                  </w:p>
                  <w:p w14:paraId="5C9FDF3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7C43ADC0"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4B6D9E5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4760C96C"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671C0F32" w14:textId="77777777"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w:t>
                    </w:r>
                    <w:proofErr w:type="spellStart"/>
                    <w:r w:rsidRPr="009D752A">
                      <w:rPr>
                        <w:rFonts w:cs="Arial"/>
                        <w:sz w:val="15"/>
                        <w:szCs w:val="15"/>
                      </w:rPr>
                      <w:t>Tras</w:t>
                    </w:r>
                    <w:proofErr w:type="spellEnd"/>
                    <w:r w:rsidRPr="009D752A">
                      <w:rPr>
                        <w:rFonts w:cs="Arial"/>
                        <w:sz w:val="15"/>
                        <w:szCs w:val="15"/>
                      </w:rPr>
                      <w:t xml:space="preserve"> Street · #07-05 Lian </w:t>
                    </w:r>
                    <w:proofErr w:type="spellStart"/>
                    <w:r w:rsidRPr="009D752A">
                      <w:rPr>
                        <w:rFonts w:cs="Arial"/>
                        <w:sz w:val="15"/>
                        <w:szCs w:val="15"/>
                      </w:rPr>
                      <w:t>Huat</w:t>
                    </w:r>
                    <w:proofErr w:type="spellEnd"/>
                    <w:r w:rsidRPr="009D752A">
                      <w:rPr>
                        <w:rFonts w:cs="Arial"/>
                        <w:sz w:val="15"/>
                        <w:szCs w:val="15"/>
                      </w:rPr>
                      <w:t xml:space="preserve">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14:paraId="435819C4" w14:textId="77777777" w:rsidR="00990DEA" w:rsidRDefault="00990DEA">
    <w:pPr>
      <w:pStyle w:val="Footer"/>
    </w:pPr>
  </w:p>
  <w:p w14:paraId="25E15CCE" w14:textId="77777777" w:rsidR="00990DEA" w:rsidRDefault="00990DEA">
    <w:pPr>
      <w:pStyle w:val="Footer"/>
    </w:pPr>
  </w:p>
  <w:p w14:paraId="51B21431" w14:textId="77777777" w:rsidR="00990DEA" w:rsidRDefault="00990DEA">
    <w:pPr>
      <w:pStyle w:val="Footer"/>
    </w:pPr>
  </w:p>
  <w:p w14:paraId="37BD6EF9" w14:textId="77777777" w:rsidR="00990DEA" w:rsidRDefault="00990DEA">
    <w:pPr>
      <w:pStyle w:val="Footer"/>
    </w:pPr>
  </w:p>
  <w:p w14:paraId="795711C2" w14:textId="77777777" w:rsidR="009B6834" w:rsidRDefault="009B6834">
    <w:pPr>
      <w:pStyle w:val="Footer"/>
    </w:pPr>
  </w:p>
  <w:p w14:paraId="1C512E5F" w14:textId="77777777" w:rsidR="002F15BC" w:rsidRDefault="00990DEA" w:rsidP="002F15BC">
    <w:pPr>
      <w:pStyle w:val="Footer"/>
      <w:tabs>
        <w:tab w:val="left" w:pos="1985"/>
        <w:tab w:val="left" w:pos="4513"/>
      </w:tabs>
      <w:spacing w:after="20"/>
      <w:rPr>
        <w:rFonts w:cs="Arial"/>
        <w:color w:val="002060" w:themeColor="text2"/>
        <w:sz w:val="15"/>
        <w:szCs w:val="15"/>
      </w:rPr>
    </w:pPr>
    <w:r>
      <w:rPr>
        <w:noProof/>
        <w:lang w:eastAsia="en-GB"/>
      </w:rPr>
      <mc:AlternateContent>
        <mc:Choice Requires="wps">
          <w:drawing>
            <wp:anchor distT="0" distB="0" distL="114300" distR="114300" simplePos="0" relativeHeight="251695104" behindDoc="0" locked="0" layoutInCell="1" allowOverlap="1" wp14:anchorId="7A4323AC" wp14:editId="7CBC8421">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68AC1E"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" strokecolor="#cda115 [3044]" strokeweight="1pt"/>
          </w:pict>
        </mc:Fallback>
      </mc:AlternateContent>
    </w:r>
  </w:p>
  <w:p w14:paraId="716CC5C1" w14:textId="77777777" w:rsidR="002F15BC" w:rsidRPr="002F15BC" w:rsidRDefault="002F15BC"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5CD2" w14:textId="77777777" w:rsidR="00EF4DAF" w:rsidRDefault="00EF4DAF" w:rsidP="00B652E6">
      <w:pPr>
        <w:spacing w:after="0" w:line="240" w:lineRule="auto"/>
      </w:pPr>
      <w:r>
        <w:separator/>
      </w:r>
    </w:p>
  </w:footnote>
  <w:footnote w:type="continuationSeparator" w:id="0">
    <w:p w14:paraId="17666E94" w14:textId="77777777" w:rsidR="00EF4DAF" w:rsidRDefault="00EF4DAF" w:rsidP="00B652E6">
      <w:pPr>
        <w:spacing w:after="0" w:line="240" w:lineRule="auto"/>
      </w:pPr>
      <w:r>
        <w:continuationSeparator/>
      </w:r>
    </w:p>
  </w:footnote>
  <w:footnote w:id="1">
    <w:p w14:paraId="29F7241F" w14:textId="77777777" w:rsidR="0064418C" w:rsidRPr="0057403F" w:rsidRDefault="0064418C" w:rsidP="0064418C">
      <w:pPr>
        <w:pStyle w:val="FootnoteText"/>
        <w:rPr>
          <w:lang w:val="en-US"/>
        </w:rPr>
      </w:pPr>
      <w:r>
        <w:rPr>
          <w:rStyle w:val="FootnoteReference"/>
        </w:rPr>
        <w:footnoteRef/>
      </w:r>
      <w:r>
        <w:t xml:space="preserve"> </w:t>
      </w:r>
      <w:r w:rsidRPr="0057403F">
        <w:t>https://www.gov.uk/government/publications/pensions-tax-pensions-advice-allowance</w:t>
      </w:r>
    </w:p>
  </w:footnote>
  <w:footnote w:id="2">
    <w:p w14:paraId="0663CF37" w14:textId="77777777" w:rsidR="003222AE" w:rsidRPr="00BE64D8" w:rsidRDefault="003222AE">
      <w:pPr>
        <w:pStyle w:val="FootnoteText"/>
        <w:rPr>
          <w:sz w:val="16"/>
          <w:szCs w:val="16"/>
        </w:rPr>
      </w:pPr>
      <w:r>
        <w:rPr>
          <w:rStyle w:val="FootnoteReference"/>
        </w:rPr>
        <w:footnoteRef/>
      </w:r>
      <w:r>
        <w:t xml:space="preserve"> </w:t>
      </w:r>
      <w:hyperlink r:id="rId1" w:history="1">
        <w:r w:rsidRPr="00BE64D8">
          <w:rPr>
            <w:rStyle w:val="Hyperlink"/>
            <w:sz w:val="16"/>
            <w:szCs w:val="16"/>
          </w:rPr>
          <w:t>https://moneyandpensionsservice.org.uk/wp-content/uploads/2020/10/Pension-Wise-Service-Evaluation-report-2019-2020.pdf</w:t>
        </w:r>
      </w:hyperlink>
    </w:p>
  </w:footnote>
  <w:footnote w:id="3">
    <w:p w14:paraId="3E113278" w14:textId="77777777" w:rsidR="00BE64D8" w:rsidRPr="00BE64D8" w:rsidRDefault="00BE64D8">
      <w:pPr>
        <w:pStyle w:val="FootnoteText"/>
        <w:rPr>
          <w:sz w:val="16"/>
          <w:szCs w:val="16"/>
        </w:rPr>
      </w:pPr>
      <w:r w:rsidRPr="00BE64D8">
        <w:rPr>
          <w:rStyle w:val="FootnoteReference"/>
          <w:sz w:val="16"/>
          <w:szCs w:val="16"/>
        </w:rPr>
        <w:footnoteRef/>
      </w:r>
      <w:r w:rsidRPr="00BE64D8">
        <w:rPr>
          <w:sz w:val="16"/>
          <w:szCs w:val="16"/>
        </w:rPr>
        <w:t xml:space="preserve"> </w:t>
      </w:r>
      <w:hyperlink r:id="rId2" w:history="1">
        <w:r w:rsidRPr="00BE64D8">
          <w:rPr>
            <w:rStyle w:val="Hyperlink"/>
            <w:sz w:val="16"/>
            <w:szCs w:val="16"/>
          </w:rPr>
          <w:t>https://moneyandpensionsservice.org.uk/wp-content/uploads/2020/07/maps-stronger-nudge-evaluation-report-july-2020.pdf</w:t>
        </w:r>
      </w:hyperlink>
    </w:p>
    <w:p w14:paraId="34C9F5FE" w14:textId="77777777" w:rsidR="00BE64D8" w:rsidRPr="00BE64D8" w:rsidRDefault="00BE64D8">
      <w:pPr>
        <w:pStyle w:val="FootnoteText"/>
        <w:rPr>
          <w:lang w:val="en-US"/>
        </w:rPr>
      </w:pPr>
    </w:p>
  </w:footnote>
  <w:footnote w:id="4">
    <w:p w14:paraId="34BF8148" w14:textId="1E1411E4" w:rsidR="00FE7051" w:rsidRDefault="00FE7051">
      <w:pPr>
        <w:pStyle w:val="FootnoteText"/>
      </w:pPr>
      <w:r>
        <w:rPr>
          <w:rStyle w:val="FootnoteReference"/>
        </w:rPr>
        <w:footnoteRef/>
      </w:r>
      <w:r>
        <w:t xml:space="preserve"> </w:t>
      </w:r>
      <w:hyperlink r:id="rId3" w:history="1">
        <w:r w:rsidRPr="00FE7051">
          <w:rPr>
            <w:rStyle w:val="Hyperlink"/>
            <w:sz w:val="16"/>
            <w:szCs w:val="16"/>
          </w:rPr>
          <w:t>https://www.aon.com/unitedkingdom/retirement-investment/defined-contribution/defined-contribution-pension-survey-2021.aspx</w:t>
        </w:r>
      </w:hyperlink>
    </w:p>
    <w:p w14:paraId="6162C8E6" w14:textId="77777777" w:rsidR="00FE7051" w:rsidRDefault="00FE7051">
      <w:pPr>
        <w:pStyle w:val="FootnoteText"/>
      </w:pPr>
    </w:p>
  </w:footnote>
  <w:footnote w:id="5">
    <w:p w14:paraId="6B6B9842" w14:textId="35095FD5" w:rsidR="00FE7051" w:rsidRDefault="00FE7051">
      <w:pPr>
        <w:pStyle w:val="FootnoteText"/>
      </w:pPr>
      <w:r>
        <w:rPr>
          <w:rStyle w:val="FootnoteReference"/>
        </w:rPr>
        <w:footnoteRef/>
      </w:r>
      <w:r>
        <w:t xml:space="preserve"> </w:t>
      </w:r>
      <w:hyperlink r:id="rId4" w:history="1">
        <w:r w:rsidRPr="00FE7051">
          <w:rPr>
            <w:rStyle w:val="Hyperlink"/>
            <w:sz w:val="16"/>
            <w:szCs w:val="16"/>
          </w:rPr>
          <w:t>https://www.actuaries.org.uk/learn-and-develop/research-and-knowledge/actuarial-research-centre-arc/recent-research/optimising-future-pension-plans-phase-</w:t>
        </w:r>
      </w:hyperlink>
      <w:r w:rsidRPr="00FE7051">
        <w:rPr>
          <w:sz w:val="16"/>
          <w:szCs w:val="16"/>
        </w:rPr>
        <w:t>i</w:t>
      </w:r>
    </w:p>
  </w:footnote>
  <w:footnote w:id="6">
    <w:p w14:paraId="622BEFCD" w14:textId="77777777" w:rsidR="00F83C18" w:rsidRPr="00F83C18" w:rsidRDefault="00F83C18">
      <w:pPr>
        <w:pStyle w:val="FootnoteText"/>
        <w:rPr>
          <w:sz w:val="16"/>
          <w:szCs w:val="16"/>
        </w:rPr>
      </w:pPr>
      <w:r>
        <w:rPr>
          <w:rStyle w:val="FootnoteReference"/>
        </w:rPr>
        <w:footnoteRef/>
      </w:r>
      <w:r>
        <w:t xml:space="preserve"> </w:t>
      </w:r>
      <w:hyperlink r:id="rId5" w:history="1">
        <w:r w:rsidRPr="00F83C18">
          <w:rPr>
            <w:rStyle w:val="Hyperlink"/>
            <w:sz w:val="16"/>
            <w:szCs w:val="16"/>
          </w:rPr>
          <w:t>https://www.actuaries.org.uk/system/files/field/document/TGRT_Campaign_Recommendations_FINAL.pdf</w:t>
        </w:r>
      </w:hyperlink>
    </w:p>
    <w:p w14:paraId="4A9B7738" w14:textId="77777777" w:rsidR="00F83C18" w:rsidRPr="00F83C18" w:rsidRDefault="00F83C18">
      <w:pPr>
        <w:pStyle w:val="FootnoteText"/>
        <w:rPr>
          <w:lang w:val="en-US"/>
        </w:rPr>
      </w:pPr>
    </w:p>
  </w:footnote>
  <w:footnote w:id="7">
    <w:p w14:paraId="75F30868" w14:textId="31BBDA48" w:rsidR="008C0EE0" w:rsidRPr="0050431D" w:rsidRDefault="008C0EE0">
      <w:pPr>
        <w:pStyle w:val="FootnoteText"/>
        <w:rPr>
          <w:lang w:val="en-US"/>
        </w:rPr>
      </w:pPr>
      <w:r>
        <w:rPr>
          <w:rStyle w:val="FootnoteReference"/>
        </w:rPr>
        <w:footnoteRef/>
      </w:r>
      <w:r>
        <w:t xml:space="preserve"> </w:t>
      </w:r>
      <w:r w:rsidRPr="004B6C3B">
        <w:rPr>
          <w:sz w:val="16"/>
          <w:szCs w:val="16"/>
        </w:rPr>
        <w:t>https://davidhumeinstitute.org/latest-publications/2022/2/15/dhi-teams-up-with-the-institute-and-faculty-of-actuaries?mc_cid=910b0d6968&amp;mc_eid=UNIQID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BF30" w14:textId="77777777" w:rsidR="0052522D" w:rsidRPr="0052522D" w:rsidRDefault="0052522D" w:rsidP="0052522D">
    <w:pPr>
      <w:pStyle w:val="Header"/>
    </w:pPr>
    <w: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ED6C" w14:textId="77777777" w:rsidR="00CA62E3" w:rsidRDefault="00990DEA" w:rsidP="0006274D">
    <w:pPr>
      <w:pStyle w:val="Header"/>
      <w:jc w:val="right"/>
    </w:pPr>
    <w:r>
      <w:rPr>
        <w:rFonts w:cs="Arial"/>
        <w:noProof/>
        <w:szCs w:val="20"/>
        <w:lang w:eastAsia="en-GB"/>
      </w:rPr>
      <mc:AlternateContent>
        <mc:Choice Requires="wps">
          <w:drawing>
            <wp:anchor distT="0" distB="0" distL="114300" distR="114300" simplePos="0" relativeHeight="251628544" behindDoc="0" locked="0" layoutInCell="1" allowOverlap="1" wp14:anchorId="1BF6A2BD" wp14:editId="5FCDFE08">
              <wp:simplePos x="0" y="0"/>
              <wp:positionH relativeFrom="page">
                <wp:posOffset>9525</wp:posOffset>
              </wp:positionH>
              <wp:positionV relativeFrom="paragraph">
                <wp:posOffset>-539750</wp:posOffset>
              </wp:positionV>
              <wp:extent cx="7534275" cy="313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133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C4DF9" id="Rectangle 2" o:spid="_x0000_s1026" style="position:absolute;margin-left:.75pt;margin-top:-42.5pt;width:593.25pt;height:246.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" fillcolor="#002060 [3215]" stroked="f" strokeweight="2pt">
              <w10:wrap anchorx="page"/>
            </v:rect>
          </w:pict>
        </mc:Fallback>
      </mc:AlternateContent>
    </w:r>
    <w:r>
      <w:rPr>
        <w:rFonts w:cs="Arial"/>
        <w:noProof/>
        <w:lang w:eastAsia="en-GB"/>
      </w:rPr>
      <w:drawing>
        <wp:anchor distT="0" distB="0" distL="114300" distR="114300" simplePos="0" relativeHeight="251701248" behindDoc="0" locked="1" layoutInCell="1" allowOverlap="1" wp14:anchorId="7C975CC8" wp14:editId="55CF69BA">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984" behindDoc="0" locked="0" layoutInCell="1" allowOverlap="1" wp14:anchorId="1117F531" wp14:editId="5F260C80">
              <wp:simplePos x="0" y="0"/>
              <wp:positionH relativeFrom="column">
                <wp:posOffset>4899660</wp:posOffset>
              </wp:positionH>
              <wp:positionV relativeFrom="page">
                <wp:posOffset>1029970</wp:posOffset>
              </wp:positionV>
              <wp:extent cx="12477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E4634" w14:textId="752C2277" w:rsidR="00EE3178" w:rsidRDefault="008634D2" w:rsidP="008634D2">
                          <w:pPr>
                            <w:rPr>
                              <w:rFonts w:cs="Arial"/>
                              <w:b/>
                              <w:color w:val="FFFFFF" w:themeColor="background2"/>
                            </w:rPr>
                          </w:pPr>
                          <w:r>
                            <w:rPr>
                              <w:rFonts w:cs="Arial"/>
                              <w:b/>
                              <w:color w:val="FFFFFF" w:themeColor="background2"/>
                              <w:vertAlign w:val="superscript"/>
                            </w:rPr>
                            <w:t xml:space="preserve"> </w:t>
                          </w:r>
                          <w:r>
                            <w:rPr>
                              <w:rFonts w:cs="Arial"/>
                              <w:b/>
                              <w:color w:val="FFFFFF" w:themeColor="background2"/>
                            </w:rPr>
                            <w:t xml:space="preserve">  </w:t>
                          </w:r>
                          <w:r w:rsidR="00CF015D">
                            <w:rPr>
                              <w:rFonts w:cs="Arial"/>
                              <w:b/>
                              <w:color w:val="FFFFFF" w:themeColor="background2"/>
                            </w:rPr>
                            <w:t>22</w:t>
                          </w:r>
                          <w:r w:rsidR="00CF015D">
                            <w:rPr>
                              <w:rFonts w:cs="Arial"/>
                              <w:b/>
                              <w:color w:val="FFFFFF" w:themeColor="background2"/>
                              <w:vertAlign w:val="superscript"/>
                            </w:rPr>
                            <w:t>nd</w:t>
                          </w:r>
                          <w:r>
                            <w:rPr>
                              <w:rFonts w:cs="Arial"/>
                              <w:b/>
                              <w:color w:val="FFFFFF" w:themeColor="background2"/>
                            </w:rPr>
                            <w:t>J</w:t>
                          </w:r>
                          <w:r w:rsidR="000F3235">
                            <w:rPr>
                              <w:rFonts w:cs="Arial"/>
                              <w:b/>
                              <w:color w:val="FFFFFF" w:themeColor="background2"/>
                            </w:rPr>
                            <w:t>uly</w:t>
                          </w:r>
                          <w:r>
                            <w:rPr>
                              <w:rFonts w:cs="Arial"/>
                              <w:b/>
                              <w:color w:val="FFFFFF" w:themeColor="background2"/>
                            </w:rPr>
                            <w:t xml:space="preserve"> 2022</w:t>
                          </w:r>
                        </w:p>
                        <w:p w14:paraId="5177F6B5" w14:textId="77777777" w:rsidR="00EE3178" w:rsidRPr="00EE3178" w:rsidRDefault="00EE3178" w:rsidP="00686676">
                          <w:pPr>
                            <w:rPr>
                              <w:rFonts w:cs="Arial"/>
                              <w:b/>
                              <w:color w:val="FFFFFF" w:themeColor="background2"/>
                            </w:rPr>
                          </w:pPr>
                        </w:p>
                        <w:p w14:paraId="024051FA" w14:textId="77777777"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7F531" id="_x0000_t202" coordsize="21600,21600" o:spt="202" path="m,l,21600r21600,l21600,xe">
              <v:stroke joinstyle="miter"/>
              <v:path gradientshapeok="t" o:connecttype="rect"/>
            </v:shapetype>
            <v:shape id="Text Box 7" o:spid="_x0000_s1027" type="#_x0000_t202" style="position:absolute;left:0;text-align:left;margin-left:385.8pt;margin-top:81.1pt;width:9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" filled="f" stroked="f" strokeweight=".5pt">
              <v:textbox inset="0,,0">
                <w:txbxContent>
                  <w:p w14:paraId="111E4634" w14:textId="752C2277" w:rsidR="00EE3178" w:rsidRDefault="008634D2" w:rsidP="008634D2">
                    <w:pPr>
                      <w:rPr>
                        <w:rFonts w:cs="Arial"/>
                        <w:b/>
                        <w:color w:val="FFFFFF" w:themeColor="background2"/>
                      </w:rPr>
                    </w:pPr>
                    <w:r>
                      <w:rPr>
                        <w:rFonts w:cs="Arial"/>
                        <w:b/>
                        <w:color w:val="FFFFFF" w:themeColor="background2"/>
                        <w:vertAlign w:val="superscript"/>
                      </w:rPr>
                      <w:t xml:space="preserve"> </w:t>
                    </w:r>
                    <w:r>
                      <w:rPr>
                        <w:rFonts w:cs="Arial"/>
                        <w:b/>
                        <w:color w:val="FFFFFF" w:themeColor="background2"/>
                      </w:rPr>
                      <w:t xml:space="preserve">  </w:t>
                    </w:r>
                    <w:r w:rsidR="00CF015D">
                      <w:rPr>
                        <w:rFonts w:cs="Arial"/>
                        <w:b/>
                        <w:color w:val="FFFFFF" w:themeColor="background2"/>
                      </w:rPr>
                      <w:t>22</w:t>
                    </w:r>
                    <w:r w:rsidR="00CF015D">
                      <w:rPr>
                        <w:rFonts w:cs="Arial"/>
                        <w:b/>
                        <w:color w:val="FFFFFF" w:themeColor="background2"/>
                        <w:vertAlign w:val="superscript"/>
                      </w:rPr>
                      <w:t>nd</w:t>
                    </w:r>
                    <w:r>
                      <w:rPr>
                        <w:rFonts w:cs="Arial"/>
                        <w:b/>
                        <w:color w:val="FFFFFF" w:themeColor="background2"/>
                      </w:rPr>
                      <w:t>J</w:t>
                    </w:r>
                    <w:r w:rsidR="000F3235">
                      <w:rPr>
                        <w:rFonts w:cs="Arial"/>
                        <w:b/>
                        <w:color w:val="FFFFFF" w:themeColor="background2"/>
                      </w:rPr>
                      <w:t>uly</w:t>
                    </w:r>
                    <w:r>
                      <w:rPr>
                        <w:rFonts w:cs="Arial"/>
                        <w:b/>
                        <w:color w:val="FFFFFF" w:themeColor="background2"/>
                      </w:rPr>
                      <w:t xml:space="preserve"> 2022</w:t>
                    </w:r>
                  </w:p>
                  <w:p w14:paraId="5177F6B5" w14:textId="77777777" w:rsidR="00EE3178" w:rsidRPr="00EE3178" w:rsidRDefault="00EE3178" w:rsidP="00686676">
                    <w:pPr>
                      <w:rPr>
                        <w:rFonts w:cs="Arial"/>
                        <w:b/>
                        <w:color w:val="FFFFFF" w:themeColor="background2"/>
                      </w:rPr>
                    </w:pPr>
                  </w:p>
                  <w:p w14:paraId="024051FA" w14:textId="77777777" w:rsidR="00EE3178" w:rsidRPr="00686676" w:rsidRDefault="00EE3178">
                    <w:pPr>
                      <w:rPr>
                        <w:color w:val="FFFFFF" w:themeColor="background2"/>
                      </w:rPr>
                    </w:pPr>
                  </w:p>
                </w:txbxContent>
              </v:textbox>
              <w10:wrap anchory="page"/>
            </v:shape>
          </w:pict>
        </mc:Fallback>
      </mc:AlternateContent>
    </w:r>
    <w:r w:rsidR="0006274D">
      <w:rPr>
        <w:rFonts w:cs="Arial"/>
        <w:b/>
        <w:szCs w:val="20"/>
      </w:rPr>
      <w:tab/>
    </w:r>
    <w:r w:rsidR="0006274D">
      <w:rPr>
        <w:rFonts w:cs="Arial"/>
        <w:b/>
        <w:szCs w:val="20"/>
      </w:rPr>
      <w:tab/>
    </w:r>
    <w:r w:rsidR="0006274D" w:rsidRPr="00153DBD">
      <w:rPr>
        <w:rFonts w:cs="Arial"/>
        <w:b/>
        <w:szCs w:val="20"/>
      </w:rPr>
      <w:tab/>
      <w:t xml:space="preserve"> </w:t>
    </w:r>
  </w:p>
  <w:p w14:paraId="03A81258" w14:textId="77777777" w:rsidR="009B6834" w:rsidRDefault="009B6834">
    <w:pPr>
      <w:pStyle w:val="Header"/>
    </w:pPr>
  </w:p>
  <w:p w14:paraId="61D45FBB" w14:textId="77777777" w:rsidR="009B6834" w:rsidRDefault="009B6834">
    <w:pPr>
      <w:pStyle w:val="Header"/>
    </w:pPr>
  </w:p>
  <w:p w14:paraId="2B6977C1" w14:textId="77777777" w:rsidR="009B6834" w:rsidRDefault="009B6834">
    <w:pPr>
      <w:pStyle w:val="Header"/>
    </w:pPr>
  </w:p>
  <w:p w14:paraId="0823F365" w14:textId="77777777" w:rsidR="009B6834" w:rsidRDefault="009B6834">
    <w:pPr>
      <w:pStyle w:val="Header"/>
    </w:pPr>
  </w:p>
  <w:p w14:paraId="663D19B8" w14:textId="77777777" w:rsidR="009B6834" w:rsidRDefault="009B6834">
    <w:pPr>
      <w:pStyle w:val="Header"/>
    </w:pPr>
  </w:p>
  <w:p w14:paraId="5110923E" w14:textId="77777777" w:rsidR="009B6834" w:rsidRDefault="00584097">
    <w:pPr>
      <w:pStyle w:val="Header"/>
    </w:pPr>
    <w:r>
      <w:rPr>
        <w:noProof/>
        <w:lang w:eastAsia="en-GB"/>
      </w:rPr>
      <mc:AlternateContent>
        <mc:Choice Requires="wps">
          <w:drawing>
            <wp:anchor distT="0" distB="0" distL="114300" distR="114300" simplePos="0" relativeHeight="251676672" behindDoc="0" locked="0" layoutInCell="1" allowOverlap="1" wp14:anchorId="51BA7113" wp14:editId="7890D94A">
              <wp:simplePos x="0" y="0"/>
              <wp:positionH relativeFrom="margin">
                <wp:posOffset>-15240</wp:posOffset>
              </wp:positionH>
              <wp:positionV relativeFrom="paragraph">
                <wp:posOffset>107950</wp:posOffset>
              </wp:positionV>
              <wp:extent cx="6017260" cy="75247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B15DE" w14:textId="3018D48B" w:rsidR="000F3235" w:rsidRDefault="000F3235" w:rsidP="000F3235">
                          <w:pPr>
                            <w:rPr>
                              <w:rFonts w:cs="Arial"/>
                              <w:b/>
                              <w:bCs/>
                              <w:color w:val="FFFFFF" w:themeColor="background2"/>
                              <w:sz w:val="32"/>
                              <w:szCs w:val="32"/>
                            </w:rPr>
                          </w:pPr>
                          <w:r w:rsidRPr="000F3235">
                            <w:rPr>
                              <w:rFonts w:cs="Arial"/>
                              <w:b/>
                              <w:bCs/>
                              <w:color w:val="FFFFFF" w:themeColor="background2"/>
                              <w:sz w:val="32"/>
                              <w:szCs w:val="32"/>
                            </w:rPr>
                            <w:t>Helping savers understand their pension choices</w:t>
                          </w:r>
                          <w:r>
                            <w:rPr>
                              <w:rFonts w:cs="Arial"/>
                              <w:b/>
                              <w:bCs/>
                              <w:color w:val="FFFFFF" w:themeColor="background2"/>
                              <w:sz w:val="32"/>
                              <w:szCs w:val="32"/>
                            </w:rPr>
                            <w:t>:</w:t>
                          </w:r>
                        </w:p>
                        <w:p w14:paraId="439E9CC2" w14:textId="6C4969BC" w:rsidR="000F3235" w:rsidRPr="000F3235" w:rsidRDefault="000F3235" w:rsidP="000F3235">
                          <w:pPr>
                            <w:rPr>
                              <w:rFonts w:cs="Arial"/>
                              <w:b/>
                              <w:bCs/>
                              <w:color w:val="FFFFFF" w:themeColor="background2"/>
                              <w:sz w:val="32"/>
                              <w:szCs w:val="32"/>
                            </w:rPr>
                          </w:pPr>
                          <w:r>
                            <w:rPr>
                              <w:rFonts w:cs="Arial"/>
                              <w:b/>
                              <w:bCs/>
                              <w:color w:val="FFFFFF" w:themeColor="background2"/>
                              <w:sz w:val="32"/>
                              <w:szCs w:val="32"/>
                            </w:rPr>
                            <w:t>Department for Work and Pensions Call for Evidence</w:t>
                          </w:r>
                        </w:p>
                        <w:p w14:paraId="00CA4972" w14:textId="77777777" w:rsidR="008634D2" w:rsidRPr="008634D2" w:rsidRDefault="008634D2" w:rsidP="008634D2">
                          <w:pPr>
                            <w:rPr>
                              <w:rFonts w:cs="Arial"/>
                              <w:b/>
                              <w:bCs/>
                              <w:color w:val="FFFFFF" w:themeColor="background2"/>
                              <w:sz w:val="32"/>
                              <w:szCs w:val="32"/>
                            </w:rPr>
                          </w:pPr>
                        </w:p>
                        <w:p w14:paraId="6B703948" w14:textId="77777777"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A7113" id="Text Box 6" o:spid="_x0000_s1028" type="#_x0000_t202" style="position:absolute;margin-left:-1.2pt;margin-top:8.5pt;width:473.8pt;height:5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" filled="f" stroked="f" strokeweight=".5pt">
              <v:textbox inset="0,,0">
                <w:txbxContent>
                  <w:p w14:paraId="0A0B15DE" w14:textId="3018D48B" w:rsidR="000F3235" w:rsidRDefault="000F3235" w:rsidP="000F3235">
                    <w:pPr>
                      <w:rPr>
                        <w:rFonts w:cs="Arial"/>
                        <w:b/>
                        <w:bCs/>
                        <w:color w:val="FFFFFF" w:themeColor="background2"/>
                        <w:sz w:val="32"/>
                        <w:szCs w:val="32"/>
                      </w:rPr>
                    </w:pPr>
                    <w:r w:rsidRPr="000F3235">
                      <w:rPr>
                        <w:rFonts w:cs="Arial"/>
                        <w:b/>
                        <w:bCs/>
                        <w:color w:val="FFFFFF" w:themeColor="background2"/>
                        <w:sz w:val="32"/>
                        <w:szCs w:val="32"/>
                      </w:rPr>
                      <w:t>Helping savers understand their pension choices</w:t>
                    </w:r>
                    <w:r>
                      <w:rPr>
                        <w:rFonts w:cs="Arial"/>
                        <w:b/>
                        <w:bCs/>
                        <w:color w:val="FFFFFF" w:themeColor="background2"/>
                        <w:sz w:val="32"/>
                        <w:szCs w:val="32"/>
                      </w:rPr>
                      <w:t>:</w:t>
                    </w:r>
                  </w:p>
                  <w:p w14:paraId="439E9CC2" w14:textId="6C4969BC" w:rsidR="000F3235" w:rsidRPr="000F3235" w:rsidRDefault="000F3235" w:rsidP="000F3235">
                    <w:pPr>
                      <w:rPr>
                        <w:rFonts w:cs="Arial"/>
                        <w:b/>
                        <w:bCs/>
                        <w:color w:val="FFFFFF" w:themeColor="background2"/>
                        <w:sz w:val="32"/>
                        <w:szCs w:val="32"/>
                      </w:rPr>
                    </w:pPr>
                    <w:r>
                      <w:rPr>
                        <w:rFonts w:cs="Arial"/>
                        <w:b/>
                        <w:bCs/>
                        <w:color w:val="FFFFFF" w:themeColor="background2"/>
                        <w:sz w:val="32"/>
                        <w:szCs w:val="32"/>
                      </w:rPr>
                      <w:t>Department for Work and Pensions Call for Evidence</w:t>
                    </w:r>
                  </w:p>
                  <w:p w14:paraId="00CA4972" w14:textId="77777777" w:rsidR="008634D2" w:rsidRPr="008634D2" w:rsidRDefault="008634D2" w:rsidP="008634D2">
                    <w:pPr>
                      <w:rPr>
                        <w:rFonts w:cs="Arial"/>
                        <w:b/>
                        <w:bCs/>
                        <w:color w:val="FFFFFF" w:themeColor="background2"/>
                        <w:sz w:val="32"/>
                        <w:szCs w:val="32"/>
                      </w:rPr>
                    </w:pPr>
                  </w:p>
                  <w:p w14:paraId="6B703948" w14:textId="77777777" w:rsidR="00EE3178" w:rsidRPr="00686676" w:rsidRDefault="00EE3178">
                    <w:pPr>
                      <w:rPr>
                        <w:color w:val="FFFFFF" w:themeColor="background2"/>
                      </w:rPr>
                    </w:pPr>
                  </w:p>
                </w:txbxContent>
              </v:textbox>
              <w10:wrap anchorx="margin"/>
            </v:shape>
          </w:pict>
        </mc:Fallback>
      </mc:AlternateContent>
    </w:r>
  </w:p>
  <w:p w14:paraId="03C72BAB" w14:textId="77777777" w:rsidR="00D84325" w:rsidRDefault="00D84325">
    <w:pPr>
      <w:pStyle w:val="Header"/>
    </w:pPr>
  </w:p>
  <w:p w14:paraId="0AE2FC1E" w14:textId="77777777" w:rsidR="00D84325" w:rsidRDefault="00D84325">
    <w:pPr>
      <w:pStyle w:val="Header"/>
    </w:pPr>
  </w:p>
  <w:p w14:paraId="40EEB8D4" w14:textId="77777777" w:rsidR="00686676" w:rsidRDefault="00990DEA">
    <w:pPr>
      <w:pStyle w:val="Header"/>
    </w:pPr>
    <w:r>
      <w:rPr>
        <w:noProof/>
        <w:lang w:eastAsia="en-GB"/>
      </w:rPr>
      <mc:AlternateContent>
        <mc:Choice Requires="wps">
          <w:drawing>
            <wp:anchor distT="0" distB="0" distL="114300" distR="114300" simplePos="0" relativeHeight="251652096" behindDoc="0" locked="0" layoutInCell="1" allowOverlap="1" wp14:anchorId="67ECE198" wp14:editId="05976BD9">
              <wp:simplePos x="0" y="0"/>
              <wp:positionH relativeFrom="margin">
                <wp:posOffset>-5716</wp:posOffset>
              </wp:positionH>
              <wp:positionV relativeFrom="paragraph">
                <wp:posOffset>469900</wp:posOffset>
              </wp:positionV>
              <wp:extent cx="625792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B5492" w14:textId="0860A5AF"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t>
                          </w:r>
                          <w:r w:rsidR="007C26E9" w:rsidRPr="00EE3178">
                            <w:rPr>
                              <w:rFonts w:cs="Arial"/>
                              <w:color w:val="FFFFFF" w:themeColor="background2"/>
                              <w:sz w:val="18"/>
                            </w:rPr>
                            <w:t>worldwide and</w:t>
                          </w:r>
                          <w:r w:rsidRPr="00EE3178">
                            <w:rPr>
                              <w:rFonts w:cs="Arial"/>
                              <w:color w:val="FFFFFF" w:themeColor="background2"/>
                              <w:sz w:val="18"/>
                            </w:rPr>
                            <w:t xml:space="preserve"> oversee their education at all stages of qualification and development throughout their careers.  </w:t>
                          </w:r>
                        </w:p>
                        <w:p w14:paraId="05E84540" w14:textId="77777777" w:rsidR="00686676" w:rsidRPr="00686676" w:rsidRDefault="00686676">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E198" id="Text Box 3" o:spid="_x0000_s1029" type="#_x0000_t202" style="position:absolute;margin-left:-.45pt;margin-top:37pt;width:492.75pt;height:6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" filled="f" stroked="f" strokeweight=".5pt">
              <v:textbox inset="0,,0">
                <w:txbxContent>
                  <w:p w14:paraId="35FB5492" w14:textId="0860A5AF"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t>
                    </w:r>
                    <w:r w:rsidR="007C26E9" w:rsidRPr="00EE3178">
                      <w:rPr>
                        <w:rFonts w:cs="Arial"/>
                        <w:color w:val="FFFFFF" w:themeColor="background2"/>
                        <w:sz w:val="18"/>
                      </w:rPr>
                      <w:t>worldwide and</w:t>
                    </w:r>
                    <w:r w:rsidRPr="00EE3178">
                      <w:rPr>
                        <w:rFonts w:cs="Arial"/>
                        <w:color w:val="FFFFFF" w:themeColor="background2"/>
                        <w:sz w:val="18"/>
                      </w:rPr>
                      <w:t xml:space="preserve"> oversee their education at all stages of qualification and development throughout their careers.  </w:t>
                    </w:r>
                  </w:p>
                  <w:p w14:paraId="05E84540" w14:textId="77777777" w:rsidR="00686676" w:rsidRPr="00686676" w:rsidRDefault="00686676">
                    <w:pPr>
                      <w:rPr>
                        <w:color w:val="FFFFFF" w:themeColor="background2"/>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4A3"/>
    <w:multiLevelType w:val="hybridMultilevel"/>
    <w:tmpl w:val="81F035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D0DFA"/>
    <w:multiLevelType w:val="hybridMultilevel"/>
    <w:tmpl w:val="2098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C32E4"/>
    <w:multiLevelType w:val="hybridMultilevel"/>
    <w:tmpl w:val="0EDC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54DD"/>
    <w:multiLevelType w:val="hybridMultilevel"/>
    <w:tmpl w:val="C4C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68AF"/>
    <w:multiLevelType w:val="hybridMultilevel"/>
    <w:tmpl w:val="12E2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43E72"/>
    <w:multiLevelType w:val="hybridMultilevel"/>
    <w:tmpl w:val="FA5C322E"/>
    <w:lvl w:ilvl="0" w:tplc="BB6A8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A1B45"/>
    <w:multiLevelType w:val="hybridMultilevel"/>
    <w:tmpl w:val="072CA450"/>
    <w:lvl w:ilvl="0" w:tplc="998C1CD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BF650C"/>
    <w:multiLevelType w:val="hybridMultilevel"/>
    <w:tmpl w:val="CFF692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7160C"/>
    <w:multiLevelType w:val="hybridMultilevel"/>
    <w:tmpl w:val="B8DAF10A"/>
    <w:lvl w:ilvl="0" w:tplc="F4FE6D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E22B6"/>
    <w:multiLevelType w:val="multilevel"/>
    <w:tmpl w:val="B890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80B9A"/>
    <w:multiLevelType w:val="hybridMultilevel"/>
    <w:tmpl w:val="95D47C94"/>
    <w:lvl w:ilvl="0" w:tplc="14E2718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27356"/>
    <w:multiLevelType w:val="hybridMultilevel"/>
    <w:tmpl w:val="A6B01F52"/>
    <w:lvl w:ilvl="0" w:tplc="FECA3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B535AD"/>
    <w:multiLevelType w:val="multilevel"/>
    <w:tmpl w:val="C7049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5D5C59"/>
    <w:multiLevelType w:val="hybridMultilevel"/>
    <w:tmpl w:val="14B6F3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B91705"/>
    <w:multiLevelType w:val="hybridMultilevel"/>
    <w:tmpl w:val="979820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C040D"/>
    <w:multiLevelType w:val="hybridMultilevel"/>
    <w:tmpl w:val="24EE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E6F88"/>
    <w:multiLevelType w:val="hybridMultilevel"/>
    <w:tmpl w:val="0D3AE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94121"/>
    <w:multiLevelType w:val="hybridMultilevel"/>
    <w:tmpl w:val="4A38B082"/>
    <w:lvl w:ilvl="0" w:tplc="D52C7184">
      <w:start w:val="1"/>
      <w:numFmt w:val="bullet"/>
      <w:lvlText w:val="-"/>
      <w:lvlJc w:val="left"/>
      <w:pPr>
        <w:ind w:left="1140" w:hanging="360"/>
      </w:pPr>
      <w:rPr>
        <w:rFonts w:ascii="Arial" w:eastAsiaTheme="minorHAnsi" w:hAnsi="Arial" w:cs="Aria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42921ADA"/>
    <w:multiLevelType w:val="multilevel"/>
    <w:tmpl w:val="A466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635DCC"/>
    <w:multiLevelType w:val="hybridMultilevel"/>
    <w:tmpl w:val="D62E4E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8D72F3"/>
    <w:multiLevelType w:val="multilevel"/>
    <w:tmpl w:val="3FAA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526EE"/>
    <w:multiLevelType w:val="hybridMultilevel"/>
    <w:tmpl w:val="523670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A7583"/>
    <w:multiLevelType w:val="hybridMultilevel"/>
    <w:tmpl w:val="D8C48EEE"/>
    <w:lvl w:ilvl="0" w:tplc="98324EB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15B81"/>
    <w:multiLevelType w:val="hybridMultilevel"/>
    <w:tmpl w:val="6D3628DC"/>
    <w:lvl w:ilvl="0" w:tplc="09101B6E">
      <w:numFmt w:val="bullet"/>
      <w:lvlText w:val="-"/>
      <w:lvlJc w:val="left"/>
      <w:pPr>
        <w:ind w:left="1500" w:hanging="360"/>
      </w:pPr>
      <w:rPr>
        <w:rFonts w:ascii="Mute" w:eastAsia="Times New Roman" w:hAnsi="Mute"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56717338"/>
    <w:multiLevelType w:val="hybridMultilevel"/>
    <w:tmpl w:val="148A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40328"/>
    <w:multiLevelType w:val="hybridMultilevel"/>
    <w:tmpl w:val="1EFC319C"/>
    <w:lvl w:ilvl="0" w:tplc="F73E96F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1165FA"/>
    <w:multiLevelType w:val="hybridMultilevel"/>
    <w:tmpl w:val="A178129A"/>
    <w:lvl w:ilvl="0" w:tplc="3E5809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52926"/>
    <w:multiLevelType w:val="hybridMultilevel"/>
    <w:tmpl w:val="84E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76262"/>
    <w:multiLevelType w:val="hybridMultilevel"/>
    <w:tmpl w:val="0F38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B06A6"/>
    <w:multiLevelType w:val="hybridMultilevel"/>
    <w:tmpl w:val="78B2A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2A6C3E"/>
    <w:multiLevelType w:val="hybridMultilevel"/>
    <w:tmpl w:val="721C3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083973"/>
    <w:multiLevelType w:val="hybridMultilevel"/>
    <w:tmpl w:val="B0A0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D24CA"/>
    <w:multiLevelType w:val="hybridMultilevel"/>
    <w:tmpl w:val="28A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608B4"/>
    <w:multiLevelType w:val="hybridMultilevel"/>
    <w:tmpl w:val="2098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714D83"/>
    <w:multiLevelType w:val="hybridMultilevel"/>
    <w:tmpl w:val="9580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C3F7F"/>
    <w:multiLevelType w:val="hybridMultilevel"/>
    <w:tmpl w:val="97BCAC4E"/>
    <w:lvl w:ilvl="0" w:tplc="8C5A037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1719113">
    <w:abstractNumId w:val="31"/>
  </w:num>
  <w:num w:numId="2" w16cid:durableId="28072021">
    <w:abstractNumId w:val="3"/>
  </w:num>
  <w:num w:numId="3" w16cid:durableId="1061637134">
    <w:abstractNumId w:val="32"/>
  </w:num>
  <w:num w:numId="4" w16cid:durableId="1345402778">
    <w:abstractNumId w:val="28"/>
  </w:num>
  <w:num w:numId="5" w16cid:durableId="625114557">
    <w:abstractNumId w:val="16"/>
  </w:num>
  <w:num w:numId="6" w16cid:durableId="987324865">
    <w:abstractNumId w:val="15"/>
  </w:num>
  <w:num w:numId="7" w16cid:durableId="626468766">
    <w:abstractNumId w:val="2"/>
  </w:num>
  <w:num w:numId="8" w16cid:durableId="2134446287">
    <w:abstractNumId w:val="27"/>
  </w:num>
  <w:num w:numId="9" w16cid:durableId="446777995">
    <w:abstractNumId w:val="13"/>
  </w:num>
  <w:num w:numId="10" w16cid:durableId="545525297">
    <w:abstractNumId w:val="29"/>
  </w:num>
  <w:num w:numId="11" w16cid:durableId="323749737">
    <w:abstractNumId w:val="4"/>
  </w:num>
  <w:num w:numId="12" w16cid:durableId="169224334">
    <w:abstractNumId w:val="6"/>
  </w:num>
  <w:num w:numId="13" w16cid:durableId="1498961495">
    <w:abstractNumId w:val="1"/>
  </w:num>
  <w:num w:numId="14" w16cid:durableId="622076372">
    <w:abstractNumId w:val="33"/>
  </w:num>
  <w:num w:numId="15" w16cid:durableId="1189880279">
    <w:abstractNumId w:val="35"/>
  </w:num>
  <w:num w:numId="16" w16cid:durableId="925696414">
    <w:abstractNumId w:val="19"/>
  </w:num>
  <w:num w:numId="17" w16cid:durableId="715661286">
    <w:abstractNumId w:val="7"/>
  </w:num>
  <w:num w:numId="18" w16cid:durableId="791020751">
    <w:abstractNumId w:val="8"/>
  </w:num>
  <w:num w:numId="19" w16cid:durableId="2052801042">
    <w:abstractNumId w:val="25"/>
  </w:num>
  <w:num w:numId="20" w16cid:durableId="1961374812">
    <w:abstractNumId w:val="22"/>
  </w:num>
  <w:num w:numId="21" w16cid:durableId="88936373">
    <w:abstractNumId w:val="30"/>
  </w:num>
  <w:num w:numId="22" w16cid:durableId="5445587">
    <w:abstractNumId w:val="20"/>
  </w:num>
  <w:num w:numId="23" w16cid:durableId="544177623">
    <w:abstractNumId w:val="9"/>
  </w:num>
  <w:num w:numId="24" w16cid:durableId="1660771088">
    <w:abstractNumId w:val="24"/>
  </w:num>
  <w:num w:numId="25" w16cid:durableId="1711954281">
    <w:abstractNumId w:val="18"/>
  </w:num>
  <w:num w:numId="26" w16cid:durableId="1580871947">
    <w:abstractNumId w:val="34"/>
  </w:num>
  <w:num w:numId="27" w16cid:durableId="856819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4620065">
    <w:abstractNumId w:val="5"/>
  </w:num>
  <w:num w:numId="29" w16cid:durableId="1804617635">
    <w:abstractNumId w:val="26"/>
  </w:num>
  <w:num w:numId="30" w16cid:durableId="1874683705">
    <w:abstractNumId w:val="14"/>
  </w:num>
  <w:num w:numId="31" w16cid:durableId="1396734253">
    <w:abstractNumId w:val="21"/>
  </w:num>
  <w:num w:numId="32" w16cid:durableId="323247719">
    <w:abstractNumId w:val="11"/>
  </w:num>
  <w:num w:numId="33" w16cid:durableId="1197617464">
    <w:abstractNumId w:val="17"/>
  </w:num>
  <w:num w:numId="34" w16cid:durableId="830217821">
    <w:abstractNumId w:val="23"/>
  </w:num>
  <w:num w:numId="35" w16cid:durableId="1219197284">
    <w:abstractNumId w:val="0"/>
  </w:num>
  <w:num w:numId="36" w16cid:durableId="7374804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DE"/>
    <w:rsid w:val="000052EB"/>
    <w:rsid w:val="00024993"/>
    <w:rsid w:val="00026B98"/>
    <w:rsid w:val="0003259D"/>
    <w:rsid w:val="00052A6F"/>
    <w:rsid w:val="000578A4"/>
    <w:rsid w:val="0006274D"/>
    <w:rsid w:val="000645F1"/>
    <w:rsid w:val="0007250F"/>
    <w:rsid w:val="00083DBE"/>
    <w:rsid w:val="000A1223"/>
    <w:rsid w:val="000A19D9"/>
    <w:rsid w:val="000C4679"/>
    <w:rsid w:val="000D513E"/>
    <w:rsid w:val="000E3613"/>
    <w:rsid w:val="000E422D"/>
    <w:rsid w:val="000F3235"/>
    <w:rsid w:val="000F619C"/>
    <w:rsid w:val="00102DA0"/>
    <w:rsid w:val="00132D8C"/>
    <w:rsid w:val="00153B71"/>
    <w:rsid w:val="00161879"/>
    <w:rsid w:val="001636ED"/>
    <w:rsid w:val="00190F29"/>
    <w:rsid w:val="001A4766"/>
    <w:rsid w:val="001A7536"/>
    <w:rsid w:val="001A7B29"/>
    <w:rsid w:val="001C66C1"/>
    <w:rsid w:val="001D1BD8"/>
    <w:rsid w:val="001E3653"/>
    <w:rsid w:val="0020713D"/>
    <w:rsid w:val="00221026"/>
    <w:rsid w:val="0025345D"/>
    <w:rsid w:val="00255582"/>
    <w:rsid w:val="00264DC1"/>
    <w:rsid w:val="00295A8E"/>
    <w:rsid w:val="002C0B47"/>
    <w:rsid w:val="002D5243"/>
    <w:rsid w:val="002E01F7"/>
    <w:rsid w:val="002F15BC"/>
    <w:rsid w:val="002F3640"/>
    <w:rsid w:val="002F3DE6"/>
    <w:rsid w:val="0031599C"/>
    <w:rsid w:val="003222AE"/>
    <w:rsid w:val="00325817"/>
    <w:rsid w:val="00327358"/>
    <w:rsid w:val="00334CF1"/>
    <w:rsid w:val="00340C80"/>
    <w:rsid w:val="00341B0E"/>
    <w:rsid w:val="00343242"/>
    <w:rsid w:val="00344613"/>
    <w:rsid w:val="00357CF6"/>
    <w:rsid w:val="00375442"/>
    <w:rsid w:val="00396145"/>
    <w:rsid w:val="003A08EE"/>
    <w:rsid w:val="003A1370"/>
    <w:rsid w:val="003A1E8A"/>
    <w:rsid w:val="003A53DE"/>
    <w:rsid w:val="003F4715"/>
    <w:rsid w:val="003F556C"/>
    <w:rsid w:val="003F5BB9"/>
    <w:rsid w:val="00401959"/>
    <w:rsid w:val="00412244"/>
    <w:rsid w:val="0041487D"/>
    <w:rsid w:val="00416D77"/>
    <w:rsid w:val="00425D75"/>
    <w:rsid w:val="004442A2"/>
    <w:rsid w:val="004502C6"/>
    <w:rsid w:val="00472CE5"/>
    <w:rsid w:val="004802E3"/>
    <w:rsid w:val="00480910"/>
    <w:rsid w:val="00487614"/>
    <w:rsid w:val="00494021"/>
    <w:rsid w:val="004B5F50"/>
    <w:rsid w:val="004B6C3B"/>
    <w:rsid w:val="004D73B3"/>
    <w:rsid w:val="004D7E09"/>
    <w:rsid w:val="004F03AB"/>
    <w:rsid w:val="004F61CD"/>
    <w:rsid w:val="00504276"/>
    <w:rsid w:val="0050431D"/>
    <w:rsid w:val="0051360A"/>
    <w:rsid w:val="005161BD"/>
    <w:rsid w:val="0052522D"/>
    <w:rsid w:val="005370EF"/>
    <w:rsid w:val="00543642"/>
    <w:rsid w:val="00550C49"/>
    <w:rsid w:val="0056607A"/>
    <w:rsid w:val="0058149A"/>
    <w:rsid w:val="00584097"/>
    <w:rsid w:val="0058436F"/>
    <w:rsid w:val="005914E1"/>
    <w:rsid w:val="005E1256"/>
    <w:rsid w:val="005E48EB"/>
    <w:rsid w:val="005F7F8F"/>
    <w:rsid w:val="0061142C"/>
    <w:rsid w:val="006122CA"/>
    <w:rsid w:val="0063066B"/>
    <w:rsid w:val="00633EF9"/>
    <w:rsid w:val="0064418C"/>
    <w:rsid w:val="00686676"/>
    <w:rsid w:val="006E343C"/>
    <w:rsid w:val="006F360E"/>
    <w:rsid w:val="006F43DF"/>
    <w:rsid w:val="00706066"/>
    <w:rsid w:val="00720FF1"/>
    <w:rsid w:val="0072175E"/>
    <w:rsid w:val="007342C7"/>
    <w:rsid w:val="00734464"/>
    <w:rsid w:val="007422A6"/>
    <w:rsid w:val="00751F11"/>
    <w:rsid w:val="00764732"/>
    <w:rsid w:val="00783C5A"/>
    <w:rsid w:val="00791DB6"/>
    <w:rsid w:val="007A5C18"/>
    <w:rsid w:val="007A73D0"/>
    <w:rsid w:val="007A7A89"/>
    <w:rsid w:val="007B6983"/>
    <w:rsid w:val="007C26E9"/>
    <w:rsid w:val="007D1AA3"/>
    <w:rsid w:val="007E5479"/>
    <w:rsid w:val="007E5E97"/>
    <w:rsid w:val="007F66C8"/>
    <w:rsid w:val="00821428"/>
    <w:rsid w:val="008355AB"/>
    <w:rsid w:val="00851AE6"/>
    <w:rsid w:val="008634D2"/>
    <w:rsid w:val="008665DD"/>
    <w:rsid w:val="00870115"/>
    <w:rsid w:val="008C0EE0"/>
    <w:rsid w:val="008C5C16"/>
    <w:rsid w:val="008C7673"/>
    <w:rsid w:val="008D1CAA"/>
    <w:rsid w:val="008E1811"/>
    <w:rsid w:val="008E1B4D"/>
    <w:rsid w:val="008F0CE6"/>
    <w:rsid w:val="00911BE9"/>
    <w:rsid w:val="00915044"/>
    <w:rsid w:val="009176F9"/>
    <w:rsid w:val="00956DFA"/>
    <w:rsid w:val="00957071"/>
    <w:rsid w:val="009756E6"/>
    <w:rsid w:val="00983BC0"/>
    <w:rsid w:val="0098594B"/>
    <w:rsid w:val="00990DEA"/>
    <w:rsid w:val="009A1BDD"/>
    <w:rsid w:val="009A4073"/>
    <w:rsid w:val="009B6834"/>
    <w:rsid w:val="009C18D3"/>
    <w:rsid w:val="009C6C32"/>
    <w:rsid w:val="009D752A"/>
    <w:rsid w:val="009E040D"/>
    <w:rsid w:val="009E4A8D"/>
    <w:rsid w:val="009E5D4E"/>
    <w:rsid w:val="00A07A37"/>
    <w:rsid w:val="00A07F65"/>
    <w:rsid w:val="00A24D33"/>
    <w:rsid w:val="00A31E1B"/>
    <w:rsid w:val="00A40E03"/>
    <w:rsid w:val="00A4164A"/>
    <w:rsid w:val="00A43D6A"/>
    <w:rsid w:val="00A47407"/>
    <w:rsid w:val="00AF2737"/>
    <w:rsid w:val="00B077AC"/>
    <w:rsid w:val="00B16BAA"/>
    <w:rsid w:val="00B24A17"/>
    <w:rsid w:val="00B35051"/>
    <w:rsid w:val="00B5349D"/>
    <w:rsid w:val="00B5381E"/>
    <w:rsid w:val="00B652E6"/>
    <w:rsid w:val="00B7544F"/>
    <w:rsid w:val="00B76CF7"/>
    <w:rsid w:val="00B82E07"/>
    <w:rsid w:val="00B911FF"/>
    <w:rsid w:val="00B9292B"/>
    <w:rsid w:val="00B94369"/>
    <w:rsid w:val="00BA3D2B"/>
    <w:rsid w:val="00BB4058"/>
    <w:rsid w:val="00BB7841"/>
    <w:rsid w:val="00BC52F2"/>
    <w:rsid w:val="00BD44CC"/>
    <w:rsid w:val="00BD4FE2"/>
    <w:rsid w:val="00BD735E"/>
    <w:rsid w:val="00BE64D8"/>
    <w:rsid w:val="00BF4E11"/>
    <w:rsid w:val="00C04129"/>
    <w:rsid w:val="00C24441"/>
    <w:rsid w:val="00C422AB"/>
    <w:rsid w:val="00C62579"/>
    <w:rsid w:val="00C73015"/>
    <w:rsid w:val="00C82B99"/>
    <w:rsid w:val="00C96677"/>
    <w:rsid w:val="00CA4082"/>
    <w:rsid w:val="00CA4CC9"/>
    <w:rsid w:val="00CA62E3"/>
    <w:rsid w:val="00CC3498"/>
    <w:rsid w:val="00CE3C25"/>
    <w:rsid w:val="00CF015D"/>
    <w:rsid w:val="00CF69E6"/>
    <w:rsid w:val="00D051BE"/>
    <w:rsid w:val="00D15B52"/>
    <w:rsid w:val="00D5366F"/>
    <w:rsid w:val="00D600CD"/>
    <w:rsid w:val="00D80AFE"/>
    <w:rsid w:val="00D84325"/>
    <w:rsid w:val="00D84CE9"/>
    <w:rsid w:val="00DA375C"/>
    <w:rsid w:val="00DB264F"/>
    <w:rsid w:val="00DB3DE0"/>
    <w:rsid w:val="00DB5427"/>
    <w:rsid w:val="00DB616D"/>
    <w:rsid w:val="00DC2989"/>
    <w:rsid w:val="00DD44E3"/>
    <w:rsid w:val="00DE3256"/>
    <w:rsid w:val="00E00AB2"/>
    <w:rsid w:val="00E014A9"/>
    <w:rsid w:val="00E12865"/>
    <w:rsid w:val="00E24768"/>
    <w:rsid w:val="00E27D5E"/>
    <w:rsid w:val="00E50234"/>
    <w:rsid w:val="00E637C2"/>
    <w:rsid w:val="00E809E4"/>
    <w:rsid w:val="00EA5F71"/>
    <w:rsid w:val="00EB048A"/>
    <w:rsid w:val="00ED2FDA"/>
    <w:rsid w:val="00EE285F"/>
    <w:rsid w:val="00EE3178"/>
    <w:rsid w:val="00EE50A0"/>
    <w:rsid w:val="00EF13CE"/>
    <w:rsid w:val="00EF4DAF"/>
    <w:rsid w:val="00F01DF4"/>
    <w:rsid w:val="00F04F9A"/>
    <w:rsid w:val="00F16F52"/>
    <w:rsid w:val="00F3196D"/>
    <w:rsid w:val="00F414A4"/>
    <w:rsid w:val="00F44E4C"/>
    <w:rsid w:val="00F805E1"/>
    <w:rsid w:val="00F8277A"/>
    <w:rsid w:val="00F83C18"/>
    <w:rsid w:val="00F94936"/>
    <w:rsid w:val="00FB4776"/>
    <w:rsid w:val="00FB50D1"/>
    <w:rsid w:val="00FD0B77"/>
    <w:rsid w:val="00FD2B1C"/>
    <w:rsid w:val="00FE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20FBF"/>
  <w15:docId w15:val="{11387BB8-AAB2-44E3-B5F9-BEFA67DD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32"/>
    <w:rPr>
      <w:rFonts w:ascii="Arial" w:hAnsi="Arial"/>
      <w:color w:val="3F4548" w:themeColor="text1"/>
      <w:sz w:val="20"/>
    </w:r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paragraph" w:styleId="Heading3">
    <w:name w:val="heading 3"/>
    <w:basedOn w:val="Normal"/>
    <w:next w:val="Normal"/>
    <w:link w:val="Heading3Char"/>
    <w:uiPriority w:val="9"/>
    <w:semiHidden/>
    <w:unhideWhenUsed/>
    <w:qFormat/>
    <w:rsid w:val="004D7E09"/>
    <w:pPr>
      <w:keepNext/>
      <w:keepLines/>
      <w:spacing w:before="40" w:after="0"/>
      <w:outlineLvl w:val="2"/>
    </w:pPr>
    <w:rPr>
      <w:rFonts w:asciiTheme="majorHAnsi" w:eastAsiaTheme="majorEastAsia" w:hAnsiTheme="majorHAnsi" w:cstheme="majorBidi"/>
      <w:color w:val="6C540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spacing w:after="160"/>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customStyle="1" w:styleId="Default">
    <w:name w:val="Default"/>
    <w:rsid w:val="003A53D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1B4D"/>
    <w:pPr>
      <w:spacing w:after="0" w:line="240" w:lineRule="auto"/>
    </w:pPr>
    <w:rPr>
      <w:rFonts w:ascii="Arial" w:hAnsi="Arial"/>
      <w:color w:val="3F4548" w:themeColor="text1"/>
      <w:sz w:val="20"/>
    </w:rPr>
  </w:style>
  <w:style w:type="paragraph" w:styleId="FootnoteText">
    <w:name w:val="footnote text"/>
    <w:basedOn w:val="Normal"/>
    <w:link w:val="FootnoteTextChar"/>
    <w:uiPriority w:val="99"/>
    <w:semiHidden/>
    <w:unhideWhenUsed/>
    <w:rsid w:val="009176F9"/>
    <w:pPr>
      <w:spacing w:after="0" w:line="240" w:lineRule="auto"/>
    </w:pPr>
    <w:rPr>
      <w:szCs w:val="20"/>
    </w:rPr>
  </w:style>
  <w:style w:type="character" w:customStyle="1" w:styleId="FootnoteTextChar">
    <w:name w:val="Footnote Text Char"/>
    <w:basedOn w:val="DefaultParagraphFont"/>
    <w:link w:val="FootnoteText"/>
    <w:uiPriority w:val="99"/>
    <w:semiHidden/>
    <w:rsid w:val="009176F9"/>
    <w:rPr>
      <w:rFonts w:ascii="Arial" w:hAnsi="Arial"/>
      <w:color w:val="3F4548" w:themeColor="text1"/>
      <w:sz w:val="20"/>
      <w:szCs w:val="20"/>
    </w:rPr>
  </w:style>
  <w:style w:type="character" w:styleId="FootnoteReference">
    <w:name w:val="footnote reference"/>
    <w:basedOn w:val="DefaultParagraphFont"/>
    <w:uiPriority w:val="99"/>
    <w:semiHidden/>
    <w:unhideWhenUsed/>
    <w:rsid w:val="009176F9"/>
    <w:rPr>
      <w:vertAlign w:val="superscript"/>
    </w:rPr>
  </w:style>
  <w:style w:type="paragraph" w:styleId="NormalWeb">
    <w:name w:val="Normal (Web)"/>
    <w:basedOn w:val="Normal"/>
    <w:uiPriority w:val="99"/>
    <w:semiHidden/>
    <w:unhideWhenUsed/>
    <w:rsid w:val="002F364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47407"/>
    <w:rPr>
      <w:sz w:val="16"/>
      <w:szCs w:val="16"/>
    </w:rPr>
  </w:style>
  <w:style w:type="paragraph" w:styleId="CommentText">
    <w:name w:val="annotation text"/>
    <w:basedOn w:val="Normal"/>
    <w:link w:val="CommentTextChar"/>
    <w:uiPriority w:val="99"/>
    <w:unhideWhenUsed/>
    <w:rsid w:val="00A47407"/>
    <w:pPr>
      <w:spacing w:line="240" w:lineRule="auto"/>
    </w:pPr>
    <w:rPr>
      <w:szCs w:val="20"/>
    </w:rPr>
  </w:style>
  <w:style w:type="character" w:customStyle="1" w:styleId="CommentTextChar">
    <w:name w:val="Comment Text Char"/>
    <w:basedOn w:val="DefaultParagraphFont"/>
    <w:link w:val="CommentText"/>
    <w:uiPriority w:val="99"/>
    <w:rsid w:val="00A47407"/>
    <w:rPr>
      <w:rFonts w:ascii="Arial" w:hAnsi="Arial"/>
      <w:color w:val="3F4548" w:themeColor="text1"/>
      <w:sz w:val="20"/>
      <w:szCs w:val="20"/>
    </w:rPr>
  </w:style>
  <w:style w:type="paragraph" w:styleId="CommentSubject">
    <w:name w:val="annotation subject"/>
    <w:basedOn w:val="CommentText"/>
    <w:next w:val="CommentText"/>
    <w:link w:val="CommentSubjectChar"/>
    <w:uiPriority w:val="99"/>
    <w:semiHidden/>
    <w:unhideWhenUsed/>
    <w:rsid w:val="00A47407"/>
    <w:rPr>
      <w:b/>
      <w:bCs/>
    </w:rPr>
  </w:style>
  <w:style w:type="character" w:customStyle="1" w:styleId="CommentSubjectChar">
    <w:name w:val="Comment Subject Char"/>
    <w:basedOn w:val="CommentTextChar"/>
    <w:link w:val="CommentSubject"/>
    <w:uiPriority w:val="99"/>
    <w:semiHidden/>
    <w:rsid w:val="00A47407"/>
    <w:rPr>
      <w:rFonts w:ascii="Arial" w:hAnsi="Arial"/>
      <w:b/>
      <w:bCs/>
      <w:color w:val="3F4548" w:themeColor="text1"/>
      <w:sz w:val="20"/>
      <w:szCs w:val="20"/>
    </w:rPr>
  </w:style>
  <w:style w:type="character" w:styleId="FollowedHyperlink">
    <w:name w:val="FollowedHyperlink"/>
    <w:basedOn w:val="DefaultParagraphFont"/>
    <w:uiPriority w:val="99"/>
    <w:semiHidden/>
    <w:unhideWhenUsed/>
    <w:rsid w:val="00783C5A"/>
    <w:rPr>
      <w:color w:val="3F4548" w:themeColor="followedHyperlink"/>
      <w:u w:val="single"/>
    </w:rPr>
  </w:style>
  <w:style w:type="character" w:customStyle="1" w:styleId="Heading3Char">
    <w:name w:val="Heading 3 Char"/>
    <w:basedOn w:val="DefaultParagraphFont"/>
    <w:link w:val="Heading3"/>
    <w:uiPriority w:val="9"/>
    <w:semiHidden/>
    <w:rsid w:val="004D7E09"/>
    <w:rPr>
      <w:rFonts w:asciiTheme="majorHAnsi" w:eastAsiaTheme="majorEastAsia" w:hAnsiTheme="majorHAnsi" w:cstheme="majorBidi"/>
      <w:color w:val="6C540B" w:themeColor="accent1" w:themeShade="7F"/>
      <w:sz w:val="24"/>
      <w:szCs w:val="24"/>
    </w:rPr>
  </w:style>
  <w:style w:type="character" w:customStyle="1" w:styleId="UnresolvedMention1">
    <w:name w:val="Unresolved Mention1"/>
    <w:basedOn w:val="DefaultParagraphFont"/>
    <w:uiPriority w:val="99"/>
    <w:semiHidden/>
    <w:unhideWhenUsed/>
    <w:rsid w:val="007C26E9"/>
    <w:rPr>
      <w:color w:val="605E5C"/>
      <w:shd w:val="clear" w:color="auto" w:fill="E1DFDD"/>
    </w:rPr>
  </w:style>
  <w:style w:type="character" w:styleId="UnresolvedMention">
    <w:name w:val="Unresolved Mention"/>
    <w:basedOn w:val="DefaultParagraphFont"/>
    <w:uiPriority w:val="99"/>
    <w:semiHidden/>
    <w:unhideWhenUsed/>
    <w:rsid w:val="00FE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4937">
      <w:bodyDiv w:val="1"/>
      <w:marLeft w:val="0"/>
      <w:marRight w:val="0"/>
      <w:marTop w:val="0"/>
      <w:marBottom w:val="0"/>
      <w:divBdr>
        <w:top w:val="none" w:sz="0" w:space="0" w:color="auto"/>
        <w:left w:val="none" w:sz="0" w:space="0" w:color="auto"/>
        <w:bottom w:val="none" w:sz="0" w:space="0" w:color="auto"/>
        <w:right w:val="none" w:sz="0" w:space="0" w:color="auto"/>
      </w:divBdr>
    </w:div>
    <w:div w:id="302783256">
      <w:bodyDiv w:val="1"/>
      <w:marLeft w:val="0"/>
      <w:marRight w:val="0"/>
      <w:marTop w:val="0"/>
      <w:marBottom w:val="0"/>
      <w:divBdr>
        <w:top w:val="none" w:sz="0" w:space="0" w:color="auto"/>
        <w:left w:val="none" w:sz="0" w:space="0" w:color="auto"/>
        <w:bottom w:val="none" w:sz="0" w:space="0" w:color="auto"/>
        <w:right w:val="none" w:sz="0" w:space="0" w:color="auto"/>
      </w:divBdr>
    </w:div>
    <w:div w:id="485978263">
      <w:bodyDiv w:val="1"/>
      <w:marLeft w:val="0"/>
      <w:marRight w:val="0"/>
      <w:marTop w:val="0"/>
      <w:marBottom w:val="0"/>
      <w:divBdr>
        <w:top w:val="none" w:sz="0" w:space="0" w:color="auto"/>
        <w:left w:val="none" w:sz="0" w:space="0" w:color="auto"/>
        <w:bottom w:val="none" w:sz="0" w:space="0" w:color="auto"/>
        <w:right w:val="none" w:sz="0" w:space="0" w:color="auto"/>
      </w:divBdr>
    </w:div>
    <w:div w:id="556163137">
      <w:bodyDiv w:val="1"/>
      <w:marLeft w:val="0"/>
      <w:marRight w:val="0"/>
      <w:marTop w:val="0"/>
      <w:marBottom w:val="0"/>
      <w:divBdr>
        <w:top w:val="none" w:sz="0" w:space="0" w:color="auto"/>
        <w:left w:val="none" w:sz="0" w:space="0" w:color="auto"/>
        <w:bottom w:val="none" w:sz="0" w:space="0" w:color="auto"/>
        <w:right w:val="none" w:sz="0" w:space="0" w:color="auto"/>
      </w:divBdr>
    </w:div>
    <w:div w:id="569537584">
      <w:bodyDiv w:val="1"/>
      <w:marLeft w:val="0"/>
      <w:marRight w:val="0"/>
      <w:marTop w:val="0"/>
      <w:marBottom w:val="0"/>
      <w:divBdr>
        <w:top w:val="none" w:sz="0" w:space="0" w:color="auto"/>
        <w:left w:val="none" w:sz="0" w:space="0" w:color="auto"/>
        <w:bottom w:val="none" w:sz="0" w:space="0" w:color="auto"/>
        <w:right w:val="none" w:sz="0" w:space="0" w:color="auto"/>
      </w:divBdr>
    </w:div>
    <w:div w:id="779765367">
      <w:bodyDiv w:val="1"/>
      <w:marLeft w:val="0"/>
      <w:marRight w:val="0"/>
      <w:marTop w:val="0"/>
      <w:marBottom w:val="0"/>
      <w:divBdr>
        <w:top w:val="none" w:sz="0" w:space="0" w:color="auto"/>
        <w:left w:val="none" w:sz="0" w:space="0" w:color="auto"/>
        <w:bottom w:val="none" w:sz="0" w:space="0" w:color="auto"/>
        <w:right w:val="none" w:sz="0" w:space="0" w:color="auto"/>
      </w:divBdr>
    </w:div>
    <w:div w:id="943422517">
      <w:bodyDiv w:val="1"/>
      <w:marLeft w:val="0"/>
      <w:marRight w:val="0"/>
      <w:marTop w:val="0"/>
      <w:marBottom w:val="0"/>
      <w:divBdr>
        <w:top w:val="none" w:sz="0" w:space="0" w:color="auto"/>
        <w:left w:val="none" w:sz="0" w:space="0" w:color="auto"/>
        <w:bottom w:val="none" w:sz="0" w:space="0" w:color="auto"/>
        <w:right w:val="none" w:sz="0" w:space="0" w:color="auto"/>
      </w:divBdr>
    </w:div>
    <w:div w:id="1048452327">
      <w:bodyDiv w:val="1"/>
      <w:marLeft w:val="0"/>
      <w:marRight w:val="0"/>
      <w:marTop w:val="0"/>
      <w:marBottom w:val="0"/>
      <w:divBdr>
        <w:top w:val="none" w:sz="0" w:space="0" w:color="auto"/>
        <w:left w:val="none" w:sz="0" w:space="0" w:color="auto"/>
        <w:bottom w:val="none" w:sz="0" w:space="0" w:color="auto"/>
        <w:right w:val="none" w:sz="0" w:space="0" w:color="auto"/>
      </w:divBdr>
    </w:div>
    <w:div w:id="1084257706">
      <w:bodyDiv w:val="1"/>
      <w:marLeft w:val="0"/>
      <w:marRight w:val="0"/>
      <w:marTop w:val="0"/>
      <w:marBottom w:val="0"/>
      <w:divBdr>
        <w:top w:val="none" w:sz="0" w:space="0" w:color="auto"/>
        <w:left w:val="none" w:sz="0" w:space="0" w:color="auto"/>
        <w:bottom w:val="none" w:sz="0" w:space="0" w:color="auto"/>
        <w:right w:val="none" w:sz="0" w:space="0" w:color="auto"/>
      </w:divBdr>
    </w:div>
    <w:div w:id="1117722033">
      <w:bodyDiv w:val="1"/>
      <w:marLeft w:val="0"/>
      <w:marRight w:val="0"/>
      <w:marTop w:val="0"/>
      <w:marBottom w:val="0"/>
      <w:divBdr>
        <w:top w:val="none" w:sz="0" w:space="0" w:color="auto"/>
        <w:left w:val="none" w:sz="0" w:space="0" w:color="auto"/>
        <w:bottom w:val="none" w:sz="0" w:space="0" w:color="auto"/>
        <w:right w:val="none" w:sz="0" w:space="0" w:color="auto"/>
      </w:divBdr>
    </w:div>
    <w:div w:id="1129543744">
      <w:bodyDiv w:val="1"/>
      <w:marLeft w:val="0"/>
      <w:marRight w:val="0"/>
      <w:marTop w:val="0"/>
      <w:marBottom w:val="0"/>
      <w:divBdr>
        <w:top w:val="none" w:sz="0" w:space="0" w:color="auto"/>
        <w:left w:val="none" w:sz="0" w:space="0" w:color="auto"/>
        <w:bottom w:val="none" w:sz="0" w:space="0" w:color="auto"/>
        <w:right w:val="none" w:sz="0" w:space="0" w:color="auto"/>
      </w:divBdr>
    </w:div>
    <w:div w:id="1565604434">
      <w:bodyDiv w:val="1"/>
      <w:marLeft w:val="0"/>
      <w:marRight w:val="0"/>
      <w:marTop w:val="0"/>
      <w:marBottom w:val="0"/>
      <w:divBdr>
        <w:top w:val="none" w:sz="0" w:space="0" w:color="auto"/>
        <w:left w:val="none" w:sz="0" w:space="0" w:color="auto"/>
        <w:bottom w:val="none" w:sz="0" w:space="0" w:color="auto"/>
        <w:right w:val="none" w:sz="0" w:space="0" w:color="auto"/>
      </w:divBdr>
    </w:div>
    <w:div w:id="1610239445">
      <w:bodyDiv w:val="1"/>
      <w:marLeft w:val="0"/>
      <w:marRight w:val="0"/>
      <w:marTop w:val="0"/>
      <w:marBottom w:val="0"/>
      <w:divBdr>
        <w:top w:val="none" w:sz="0" w:space="0" w:color="auto"/>
        <w:left w:val="none" w:sz="0" w:space="0" w:color="auto"/>
        <w:bottom w:val="none" w:sz="0" w:space="0" w:color="auto"/>
        <w:right w:val="none" w:sz="0" w:space="0" w:color="auto"/>
      </w:divBdr>
    </w:div>
    <w:div w:id="1638994334">
      <w:bodyDiv w:val="1"/>
      <w:marLeft w:val="0"/>
      <w:marRight w:val="0"/>
      <w:marTop w:val="0"/>
      <w:marBottom w:val="0"/>
      <w:divBdr>
        <w:top w:val="none" w:sz="0" w:space="0" w:color="auto"/>
        <w:left w:val="none" w:sz="0" w:space="0" w:color="auto"/>
        <w:bottom w:val="none" w:sz="0" w:space="0" w:color="auto"/>
        <w:right w:val="none" w:sz="0" w:space="0" w:color="auto"/>
      </w:divBdr>
    </w:div>
    <w:div w:id="1694576656">
      <w:bodyDiv w:val="1"/>
      <w:marLeft w:val="0"/>
      <w:marRight w:val="0"/>
      <w:marTop w:val="0"/>
      <w:marBottom w:val="0"/>
      <w:divBdr>
        <w:top w:val="none" w:sz="0" w:space="0" w:color="auto"/>
        <w:left w:val="none" w:sz="0" w:space="0" w:color="auto"/>
        <w:bottom w:val="none" w:sz="0" w:space="0" w:color="auto"/>
        <w:right w:val="none" w:sz="0" w:space="0" w:color="auto"/>
      </w:divBdr>
    </w:div>
    <w:div w:id="1768040868">
      <w:bodyDiv w:val="1"/>
      <w:marLeft w:val="0"/>
      <w:marRight w:val="0"/>
      <w:marTop w:val="0"/>
      <w:marBottom w:val="0"/>
      <w:divBdr>
        <w:top w:val="none" w:sz="0" w:space="0" w:color="auto"/>
        <w:left w:val="none" w:sz="0" w:space="0" w:color="auto"/>
        <w:bottom w:val="none" w:sz="0" w:space="0" w:color="auto"/>
        <w:right w:val="none" w:sz="0" w:space="0" w:color="auto"/>
      </w:divBdr>
    </w:div>
    <w:div w:id="1850680872">
      <w:bodyDiv w:val="1"/>
      <w:marLeft w:val="0"/>
      <w:marRight w:val="0"/>
      <w:marTop w:val="0"/>
      <w:marBottom w:val="0"/>
      <w:divBdr>
        <w:top w:val="none" w:sz="0" w:space="0" w:color="auto"/>
        <w:left w:val="none" w:sz="0" w:space="0" w:color="auto"/>
        <w:bottom w:val="none" w:sz="0" w:space="0" w:color="auto"/>
        <w:right w:val="none" w:sz="0" w:space="0" w:color="auto"/>
      </w:divBdr>
    </w:div>
    <w:div w:id="1932658931">
      <w:bodyDiv w:val="1"/>
      <w:marLeft w:val="0"/>
      <w:marRight w:val="0"/>
      <w:marTop w:val="0"/>
      <w:marBottom w:val="0"/>
      <w:divBdr>
        <w:top w:val="none" w:sz="0" w:space="0" w:color="auto"/>
        <w:left w:val="none" w:sz="0" w:space="0" w:color="auto"/>
        <w:bottom w:val="none" w:sz="0" w:space="0" w:color="auto"/>
        <w:right w:val="none" w:sz="0" w:space="0" w:color="auto"/>
      </w:divBdr>
    </w:div>
    <w:div w:id="20994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olan.ward@actuarie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tuaries.org.uk/system/files/field/document/TGRT_Campaign_Recommendations_FIN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tuaries.org.uk/system/files/field/document/TGRT_Campaign_Recommendations_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uaries.org.uk/freedom-and-choice-public-attitudes-seven-years" TargetMode="External"/><Relationship Id="rId5" Type="http://schemas.openxmlformats.org/officeDocument/2006/relationships/numbering" Target="numbering.xml"/><Relationship Id="rId15" Type="http://schemas.openxmlformats.org/officeDocument/2006/relationships/hyperlink" Target="https://www.gov.uk/government/consultations/stronger-nudge-to-pensions-guidance/stronger-nudge-to-pensions-guidan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uaries.org.uk/freedom-and-choice-public-attitudes-seven-year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on.com/unitedkingdom/retirement-investment/defined-contribution/defined-contribution-pension-survey-2021.aspx" TargetMode="External"/><Relationship Id="rId2" Type="http://schemas.openxmlformats.org/officeDocument/2006/relationships/hyperlink" Target="https://moneyandpensionsservice.org.uk/wp-content/uploads/2020/07/maps-stronger-nudge-evaluation-report-july-2020.pdf" TargetMode="External"/><Relationship Id="rId1" Type="http://schemas.openxmlformats.org/officeDocument/2006/relationships/hyperlink" Target="https://moneyandpensionsservice.org.uk/wp-content/uploads/2020/10/Pension-Wise-Service-Evaluation-report-2019-2020.pdf" TargetMode="External"/><Relationship Id="rId5" Type="http://schemas.openxmlformats.org/officeDocument/2006/relationships/hyperlink" Target="https://www.actuaries.org.uk/system/files/field/document/TGRT_Campaign_Recommendations_FINAL.pdf" TargetMode="External"/><Relationship Id="rId4" Type="http://schemas.openxmlformats.org/officeDocument/2006/relationships/hyperlink" Target="https://www.actuaries.org.uk/learn-and-develop/research-and-knowledge/actuarial-research-centre-arc/recent-research/optimising-future-pension-plans-ph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15857BABB41F43BFD453595E8BF29B" ma:contentTypeVersion="14" ma:contentTypeDescription="Create a new document." ma:contentTypeScope="" ma:versionID="ee6f931dd5d25dd196969af090daa183">
  <xsd:schema xmlns:xsd="http://www.w3.org/2001/XMLSchema" xmlns:xs="http://www.w3.org/2001/XMLSchema" xmlns:p="http://schemas.microsoft.com/office/2006/metadata/properties" xmlns:ns3="8ce46e1c-e67a-4919-8f22-e62e5743ae36" xmlns:ns4="e9d605bc-fe42-4470-a8ac-47f08384d032" targetNamespace="http://schemas.microsoft.com/office/2006/metadata/properties" ma:root="true" ma:fieldsID="2d545e22ba2ae524bd83feb1bbc57d6b" ns3:_="" ns4:_="">
    <xsd:import namespace="8ce46e1c-e67a-4919-8f22-e62e5743ae36"/>
    <xsd:import namespace="e9d605bc-fe42-4470-a8ac-47f08384d0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6e1c-e67a-4919-8f22-e62e5743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605bc-fe42-4470-a8ac-47f08384d0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8A358-8453-4A6A-8361-51261F5A45A3}">
  <ds:schemaRefs>
    <ds:schemaRef ds:uri="http://schemas.openxmlformats.org/officeDocument/2006/bibliography"/>
  </ds:schemaRefs>
</ds:datastoreItem>
</file>

<file path=customXml/itemProps2.xml><?xml version="1.0" encoding="utf-8"?>
<ds:datastoreItem xmlns:ds="http://schemas.openxmlformats.org/officeDocument/2006/customXml" ds:itemID="{30A8D587-3BDD-4145-8023-4D2FCA24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6e1c-e67a-4919-8f22-e62e5743ae36"/>
    <ds:schemaRef ds:uri="e9d605bc-fe42-4470-a8ac-47f08384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C364B-592E-4B1A-87EE-58196E0B967D}">
  <ds:schemaRefs>
    <ds:schemaRef ds:uri="http://schemas.microsoft.com/office/2006/metadata/properties"/>
  </ds:schemaRefs>
</ds:datastoreItem>
</file>

<file path=customXml/itemProps4.xml><?xml version="1.0" encoding="utf-8"?>
<ds:datastoreItem xmlns:ds="http://schemas.openxmlformats.org/officeDocument/2006/customXml" ds:itemID="{64406EDA-9DEF-4D02-A2E8-5948471E5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3596</Words>
  <Characters>20498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Caolan Ward</dc:creator>
  <cp:lastModifiedBy>Matthew Humphreys</cp:lastModifiedBy>
  <cp:revision>2</cp:revision>
  <cp:lastPrinted>2012-12-17T18:03:00Z</cp:lastPrinted>
  <dcterms:created xsi:type="dcterms:W3CDTF">2022-07-29T10:02:00Z</dcterms:created>
  <dcterms:modified xsi:type="dcterms:W3CDTF">2022-07-29T10:02:00Z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0x010100D115857BABB41F43BFD453595E8BF29B</vt:lpwstr>
  </property>
  <property fmtid="{D5CDD505-2E9C-101B-9397-08002B2CF9AE}" pid="3" name="MSIP_Label_38f1469a-2c2a-4aee-b92b-090d4c5468ff_Enabled">
    <vt:lpwstr>true</vt:lpwstr>
  </property>
  <property fmtid="{D5CDD505-2E9C-101B-9397-08002B2CF9AE}" pid="4" name="MSIP_Label_38f1469a-2c2a-4aee-b92b-090d4c5468ff_SetDate">
    <vt:lpwstr>2022-01-27T09:50:05Z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7b40e636-265d-46f5-9574-30a7926ef6aa</vt:lpwstr>
  </property>
  <property fmtid="{D5CDD505-2E9C-101B-9397-08002B2CF9AE}" pid="9" name="MSIP_Label_38f1469a-2c2a-4aee-b92b-090d4c5468ff_ContentBits">
    <vt:lpwstr>0</vt:lpwstr>
  </property>
  <property fmtid="{D5CDD505-2E9C-101B-9397-08002B2CF9AE}" pid="10" name="_NewReviewCycle">
    <vt:lpwstr/>
  </property>
  <property fmtid="{D5CDD505-2E9C-101B-9397-08002B2CF9AE}" pid="11" name="MSIP_Label_d347b247-e90e-43a3-9d7b-004f14ae6873_Enabled">
    <vt:lpwstr>true</vt:lpwstr>
  </property>
  <property fmtid="{D5CDD505-2E9C-101B-9397-08002B2CF9AE}" pid="12" name="MSIP_Label_d347b247-e90e-43a3-9d7b-004f14ae6873_SetDate">
    <vt:lpwstr>2022-01-28T10:34:39Z</vt:lpwstr>
  </property>
  <property fmtid="{D5CDD505-2E9C-101B-9397-08002B2CF9AE}" pid="13" name="MSIP_Label_d347b247-e90e-43a3-9d7b-004f14ae6873_Method">
    <vt:lpwstr>Standard</vt:lpwstr>
  </property>
  <property fmtid="{D5CDD505-2E9C-101B-9397-08002B2CF9AE}" pid="14" name="MSIP_Label_d347b247-e90e-43a3-9d7b-004f14ae6873_Name">
    <vt:lpwstr>d347b247-e90e-43a3-9d7b-004f14ae6873</vt:lpwstr>
  </property>
  <property fmtid="{D5CDD505-2E9C-101B-9397-08002B2CF9AE}" pid="15" name="MSIP_Label_d347b247-e90e-43a3-9d7b-004f14ae6873_SiteId">
    <vt:lpwstr>76e3921f-489b-4b7e-9547-9ea297add9b5</vt:lpwstr>
  </property>
  <property fmtid="{D5CDD505-2E9C-101B-9397-08002B2CF9AE}" pid="16" name="MSIP_Label_d347b247-e90e-43a3-9d7b-004f14ae6873_ActionId">
    <vt:lpwstr>378b96e7-18a4-44bb-a4ac-2ee4a57517a5</vt:lpwstr>
  </property>
  <property fmtid="{D5CDD505-2E9C-101B-9397-08002B2CF9AE}" pid="17" name="MSIP_Label_d347b247-e90e-43a3-9d7b-004f14ae6873_ContentBits">
    <vt:lpwstr>0</vt:lpwstr>
  </property>
</Properties>
</file>